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sz w:val="24"/>
          <w:szCs w:val="24"/>
          <w:u w:val="single"/>
        </w:rPr>
        <w:t xml:space="preserve">Second Review Report</w:t>
      </w:r>
    </w:p>
    <w:p>
      <w:pPr>
        <w:spacing w:after="220"/>
      </w:pPr>
      <w:r>
        <w:rPr>
          <w:sz w:val="21"/>
          <w:szCs w:val="21"/>
        </w:rPr>
        <w:t xml:space="preserve">(Submitted by </w:t>
      </w:r>
      <w:r>
        <w:rPr>
          <w:b/>
          <w:bCs/>
          <w:sz w:val="21"/>
          <w:szCs w:val="21"/>
        </w:rPr>
        <w:t xml:space="preserve">Candidate's Name</w:t>
      </w:r>
      <w:r>
        <w:rPr>
          <w:sz w:val="21"/>
          <w:szCs w:val="21"/>
        </w:rPr>
        <w:t xml:space="preserve"> Naresh S, Roll No: 2436MCA0047: Reg. No: 67224200080)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Title of the Project</w:t>
      </w:r>
    </w:p>
    <w:p>
      <w:pPr>
        <w:spacing w:after="140" w:line="268"/>
      </w:pPr>
      <w:r>
        <w:rPr>
          <w:sz w:val="21"/>
          <w:szCs w:val="21"/>
        </w:rPr>
        <w:t xml:space="preserve">Automated AI-Driven Loan Underwriting &amp; Document Fraud Detection System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Work completed so far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1"/>
          <w:szCs w:val="21"/>
        </w:rPr>
        <w:t xml:space="preserve">Overall System Design</w:t>
      </w:r>
    </w:p>
    <w:p>
      <w:pPr>
        <w:spacing w:after="140" w:line="268"/>
        <w:ind w:left="400"/>
      </w:pPr>
      <w:r>
        <w:rPr>
          <w:sz w:val="21"/>
          <w:szCs w:val="21"/>
        </w:rPr>
        <w:t xml:space="preserve">Decoupled three-tier architecture as proposed in the First Review: Next.js 14 / React presentation tier (applicant portal + officer console), a Node.js / Express API gateway (JWT authentication, role-based access control, magic-byte file validation, asynchronous job dispatch), and a Python FastAPI AI &amp; Forensics microservice (PDF metadata/font inspection, Error Level Analysis, ledger extraction and reconciliation, XGBoost credit scoring). Document analysis now runs fully asynchronously - an upload is acknowledged immediately and the pipeline result is written back and reflected in the UI once ready, instead of the request blocking until analysis finishes.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1"/>
          <w:szCs w:val="21"/>
        </w:rPr>
        <w:t xml:space="preserve">Data Set</w:t>
      </w:r>
    </w:p>
    <w:p>
      <w:pPr>
        <w:spacing w:after="140" w:line="268"/>
        <w:ind w:left="400"/>
      </w:pPr>
      <w:r>
        <w:rPr>
          <w:sz w:val="21"/>
          <w:szCs w:val="21"/>
        </w:rPr>
        <w:t xml:space="preserve">Credit-risk model trained on the public “Give Me Some Credit” dataset (~150,000 borrower records; features: age, MonthlyIncome, DebtRatio, RevolvingUtilization, NumberOfDependents and delinquency counts) using XGBoost, achieving AUC-ROC ≈ 0.87 on the held-out split. Three synthetic sample bank-statement PDFs (clean / tampered / photoshopped) plus a password-encrypted variant were generated to exercise and validate the forensics and reconciliation pipeline end-to-end.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1"/>
          <w:szCs w:val="21"/>
        </w:rPr>
        <w:t xml:space="preserve">Modules Completed with Screenshot</w:t>
      </w:r>
    </w:p>
    <w:p>
      <w:pPr>
        <w:pStyle w:val="ListParagraph"/>
        <w:numPr>
          <w:ilvl w:val="1"/>
          <w:numId w:val="2"/>
        </w:numPr>
        <w:spacing w:after="90" w:line="268"/>
        <w:ind w:left="820" w:hanging="260"/>
      </w:pPr>
      <w:r>
        <w:rPr>
          <w:sz w:val="20"/>
          <w:szCs w:val="20"/>
        </w:rPr>
        <w:t xml:space="preserve">Module 1 – Secure Ingestion Gateway: JWT authentication, role-based access control, magic-byte / MIME validation (%PDF-, \xFF\xD8\xFF).  [Insert screenshot – login / register]</w:t>
      </w:r>
    </w:p>
    <w:p>
      <w:pPr>
        <w:pStyle w:val="ListParagraph"/>
        <w:numPr>
          <w:ilvl w:val="1"/>
          <w:numId w:val="2"/>
        </w:numPr>
        <w:spacing w:after="90" w:line="268"/>
        <w:ind w:left="820" w:hanging="260"/>
      </w:pPr>
      <w:r>
        <w:rPr>
          <w:sz w:val="20"/>
          <w:szCs w:val="20"/>
        </w:rPr>
        <w:t xml:space="preserve">Module 2 – Application &amp; Document Intake: combined apply + upload form, password-protected PDF retry flow.  [Insert screenshot – New Application form]</w:t>
      </w:r>
    </w:p>
    <w:p>
      <w:pPr>
        <w:pStyle w:val="ListParagraph"/>
        <w:numPr>
          <w:ilvl w:val="1"/>
          <w:numId w:val="2"/>
        </w:numPr>
        <w:spacing w:after="90" w:line="268"/>
        <w:ind w:left="820" w:hanging="260"/>
      </w:pPr>
      <w:r>
        <w:rPr>
          <w:sz w:val="20"/>
          <w:szCs w:val="20"/>
        </w:rPr>
        <w:t xml:space="preserve">Module 3 – Structural / Metadata Forensics: PyMuPDF traversal of /Producer, /Creator, /ModDate tags and font resource dictionaries to flag editing-tool fingerprints and spliced fonts.  [Insert screenshot – officer forensics panel]</w:t>
      </w:r>
    </w:p>
    <w:p>
      <w:pPr>
        <w:pStyle w:val="ListParagraph"/>
        <w:numPr>
          <w:ilvl w:val="1"/>
          <w:numId w:val="2"/>
        </w:numPr>
        <w:spacing w:after="90" w:line="268"/>
        <w:ind w:left="820" w:hanging="260"/>
      </w:pPr>
      <w:r>
        <w:rPr>
          <w:sz w:val="20"/>
          <w:szCs w:val="20"/>
        </w:rPr>
        <w:t xml:space="preserve">Module 4 – Error Level Analysis: six-stage ELA pipeline (recompression at Q=92, matrix subtraction, variance-based tamper_score) rendering a visual heatmap for the officer.  [Insert screenshot – ELA heatmap view]</w:t>
      </w:r>
    </w:p>
    <w:p>
      <w:pPr>
        <w:pStyle w:val="ListParagraph"/>
        <w:numPr>
          <w:ilvl w:val="1"/>
          <w:numId w:val="2"/>
        </w:numPr>
        <w:spacing w:after="90" w:line="268"/>
        <w:ind w:left="820" w:hanging="260"/>
      </w:pPr>
      <w:r>
        <w:rPr>
          <w:sz w:val="20"/>
          <w:szCs w:val="20"/>
        </w:rPr>
        <w:t xml:space="preserve">Module 5 – Ledger Extraction &amp; Reconciliation: pdfplumber vector extraction with OpenCV-grid + Tesseract OCR fallback; zero-drift decimal running-balance check (Expected_Balanceᵢ = Balanceᵢ₋₁ + Creditᵢ − Debitᵢ).  [Insert screenshot – ledger table]</w:t>
      </w:r>
    </w:p>
    <w:p>
      <w:pPr>
        <w:pStyle w:val="ListParagraph"/>
        <w:numPr>
          <w:ilvl w:val="1"/>
          <w:numId w:val="2"/>
        </w:numPr>
        <w:spacing w:after="90" w:line="268"/>
        <w:ind w:left="820" w:hanging="260"/>
      </w:pPr>
      <w:r>
        <w:rPr>
          <w:sz w:val="20"/>
          <w:szCs w:val="20"/>
        </w:rPr>
        <w:t xml:space="preserve">Module 6 – Solvency Metrics &amp; Credit Risk Scoring: DTI and AMB calculation plus the XGBoost risk model.  [Insert screenshot – risk score panel]</w:t>
      </w:r>
    </w:p>
    <w:p>
      <w:pPr>
        <w:pStyle w:val="ListParagraph"/>
        <w:numPr>
          <w:ilvl w:val="1"/>
          <w:numId w:val="2"/>
        </w:numPr>
        <w:spacing w:after="90" w:line="268"/>
        <w:ind w:left="820" w:hanging="260"/>
      </w:pPr>
      <w:r>
        <w:rPr>
          <w:sz w:val="20"/>
          <w:szCs w:val="20"/>
        </w:rPr>
        <w:t xml:space="preserve">Module 7 – Decision Routing Engine: deterministic tri-state matrix (AUTO_APPROVE / MANUAL_REVIEW / REJECT / REJECT_FRAUD_ALERT).  [Insert screenshot – decision panel]</w:t>
      </w:r>
    </w:p>
    <w:p>
      <w:pPr>
        <w:pStyle w:val="ListParagraph"/>
        <w:numPr>
          <w:ilvl w:val="1"/>
          <w:numId w:val="2"/>
        </w:numPr>
        <w:spacing w:after="90" w:line="268"/>
        <w:ind w:left="820" w:hanging="260"/>
      </w:pPr>
      <w:r>
        <w:rPr>
          <w:sz w:val="20"/>
          <w:szCs w:val="20"/>
        </w:rPr>
        <w:t xml:space="preserve">Module 8 – Officer Review &amp; Human-in-the-Loop Confirmation: split-screen workspace (original document vs. ELA heatmap), ledger table, and a mandatory “Confirm &amp; Approve” action even on an AUTO_APPROVE recommendation.  [Insert screenshot – officer queue]</w:t>
      </w:r>
    </w:p>
    <w:p>
      <w:pPr>
        <w:pStyle w:val="ListParagraph"/>
        <w:numPr>
          <w:ilvl w:val="1"/>
          <w:numId w:val="2"/>
        </w:numPr>
        <w:spacing w:after="90" w:line="268"/>
        <w:ind w:left="820" w:hanging="260"/>
      </w:pPr>
      <w:r>
        <w:rPr>
          <w:sz w:val="20"/>
          <w:szCs w:val="20"/>
        </w:rPr>
        <w:t xml:space="preserve">Module 9 – Audit Logging: Write-Once-Read-Many (WORM) audit trail with SHA-256 evidence hashing of every automated check and human decision.  [Insert screenshot – audit trail]</w:t>
      </w:r>
    </w:p>
    <w:p>
      <w:pPr>
        <w:spacing w:after="160"/>
        <w:ind w:left="400"/>
      </w:pPr>
      <w:r>
        <w:rPr>
          <w:i/>
          <w:iCs/>
          <w:color w:val="666666"/>
          <w:sz w:val="18"/>
          <w:szCs w:val="18"/>
        </w:rPr>
        <w:t xml:space="preserve">Note: screenshots are to be captured from the running application and pasted in place of each bracketed placeholder before submission.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1"/>
          <w:szCs w:val="21"/>
        </w:rPr>
        <w:t xml:space="preserve">Pseudo code for incomplete modules</w:t>
      </w:r>
    </w:p>
    <w:p>
      <w:pPr>
        <w:spacing w:after="160" w:line="268"/>
        <w:ind w:left="400"/>
      </w:pPr>
      <w:r>
        <w:rPr>
          <w:sz w:val="21"/>
          <w:szCs w:val="21"/>
        </w:rPr>
        <w:t xml:space="preserve">All nine modules from the Week 1–8 work plan in the First Review are functionally complete and tested end-to-end (see Test Cases below); no module remains pending, so no pseudocode is included for this review.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Test Cases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50"/>
        <w:gridCol w:w="3500"/>
      </w:tblGrid>
      <w:tr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8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exercises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Expected outcome</w:t>
            </w:r>
          </w:p>
        </w:tc>
      </w:tr>
      <w:tr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sample_clean.pdf</w:t>
            </w:r>
          </w:p>
        </w:tc>
        <w:tc>
          <w:tcPr>
            <w:tcW w:type="dxa" w:w="38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Internally consistent ledger; no editing-tool metadata fingerprint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AUTO_APPROVE (officer confirms)</w:t>
            </w:r>
          </w:p>
        </w:tc>
      </w:tr>
      <w:tr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sample_tampered.pdf</w:t>
            </w:r>
          </w:p>
        </w:tc>
        <w:tc>
          <w:tcPr>
            <w:tcW w:type="dxa" w:w="38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One balance cell altered – breaks Σ Credit − Debit running-balance check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MANUAL_REVIEW (caught by deterministic ledger math)</w:t>
            </w:r>
          </w:p>
        </w:tc>
      </w:tr>
      <w:tr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sample_photoshopped.pdf</w:t>
            </w:r>
          </w:p>
        </w:tc>
        <w:tc>
          <w:tcPr>
            <w:tcW w:type="dxa" w:w="38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Ledger consistent, but /Producer metadata reads “Adobe Photoshop”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REJECT_FRAUD_ALERT (caught by structural PDF inspection)</w:t>
            </w:r>
          </w:p>
        </w:tc>
      </w:tr>
      <w:tr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Password-encrypted PDF</w:t>
            </w:r>
          </w:p>
        </w:tc>
        <w:tc>
          <w:tcPr>
            <w:tcW w:type="dxa" w:w="38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Upload with no / wrong password, then correct password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Status becomes PASSWORD_REQUIRED, officer/applicant re-upload succeeds once correct</w:t>
            </w:r>
          </w:p>
        </w:tc>
      </w:tr>
      <w:tr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Scanned (image-only) statement</w:t>
            </w:r>
          </w:p>
        </w:tc>
        <w:tc>
          <w:tcPr>
            <w:tcW w:type="dxa" w:w="385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pdfplumber fails → OpenCV-grid + Tesseract OCR fallback path</w:t>
            </w:r>
          </w:p>
        </w:tc>
        <w:tc>
          <w:tcPr>
            <w:tcW w:type="dxa" w:w="3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Rows extracted via OCR; on total extraction failure the application is routed to MANUAL_REVIEW rather than assumed consistent</w:t>
            </w:r>
          </w:p>
        </w:tc>
      </w:tr>
    </w:tbl>
    <w:p>
      <w:pPr>
        <w:spacing w:after="0" w:before="160"/>
      </w:pPr>
      <w:r>
        <w:rPr>
          <w:sz w:val="19"/>
          <w:szCs w:val="19"/>
        </w:rPr>
        <w:t xml:space="preserve">Additional verification: Playwright browser smoke tests for the applicant flow (register → apply → upload → view result) and the officer flow (login → queue → detail → confirm decision) run against the live application; a live end-to-end timing check confirmed the upload request now returns in well under 100ms, with the full pipeline result appearing a few seconds later via polling.</w:t>
      </w:r>
    </w:p>
    <w:p>
      <w:pPr>
        <w:spacing w:after="100" w:before="220"/>
      </w:pPr>
      <w:r>
        <w:rPr>
          <w:b/>
          <w:bCs/>
          <w:sz w:val="23"/>
          <w:szCs w:val="23"/>
        </w:rPr>
        <w:t xml:space="preserve">Deviation if any and justification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Database: the First Review proposed MySQL 8.0; the implementation uses SQLite instead, since the current scope is a single-user local prototype with no concurrent-write or multi-tenant requirement to justify a server-based RDBMS. Migrating to MySQL remains straightforward if the scope grows.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Fraud-decision gating for Error Level Analysis: the First Review's decision framework (Section 5) treats any confirmed tamper flag – metadata or ELA – as an automatic REJECT_FRAUD_ALERT. In implementation, ELA was deliberately kept diagnostic-only (shown to the officer as a heatmap) rather than auto-gating, because it produces false positives on clean, sharply-scanned documents. Only the two fully deterministic signals – PDF metadata/font fingerprinting and ledger-math reconciliation – are allowed to drive an automatic decision.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Credit-risk training data: the XGBoost model is trained on the public “Give Me Some Credit” dataset rather than real underwriting outcomes, since no proprietary lending data is available at the prototype stage; scores are illustrative of the ML layer, not production-calibrated.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Persistence schema: the First Review's ER diagram stores forensicResult / financialAnalysis / riskAssessment as JSON columns on applications; the implementation instead uses flat typed columns (isTampered, calculatedDTI, creditScore, etc.) for simpler querying and validation at this scale.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1"/>
          <w:szCs w:val="21"/>
        </w:rPr>
        <w:t xml:space="preserve">Ledger OCR coverage: extraction is tuned to the three generated sample documents and a generic pdfplumber/OpenCV-grid pipeline, not arbitrary real bank statement layouts; on extraction failure the system routes to MANUAL_REVIEW rather than silently reporting the ledger as consistent.</w:t>
      </w:r>
    </w:p>
    <w:p>
      <w:pPr>
        <w:spacing w:after="100" w:before="600"/>
      </w:pPr>
      <w:r>
        <w:rPr>
          <w:b/>
          <w:bCs/>
          <w:sz w:val="21"/>
          <w:szCs w:val="21"/>
        </w:rPr>
        <w:t xml:space="preserve">(SIGNATURE OF THE STUDENT)				</w:t>
      </w:r>
      <w:r>
        <w:rPr>
          <w:b/>
          <w:bCs/>
          <w:sz w:val="21"/>
          <w:szCs w:val="21"/>
        </w:rPr>
        <w:t xml:space="preserve">(SIGNATURE OF THE GUIDE)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▪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2026-10-22T16:00:02.008Z</dcterms:created>
  <dcterms:modified xsi:type="dcterms:W3CDTF">2026-10-22T16:00:02.008Z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