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2761"/>
          <w:sz w:val="32"/>
          <w:szCs w:val="32"/>
        </w:rPr>
        <w:t xml:space="preserve">Automated AI-Driven Loan Underwriting &amp; Document Fraud Detection System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Second Review – Technical Supplement</w:t>
      </w:r>
    </w:p>
    <w:p>
      <w:pPr>
        <w:spacing w:after="400"/>
        <w:jc w:val="center"/>
      </w:pPr>
      <w:r>
        <w:rPr>
          <w:color w:val="555555"/>
          <w:sz w:val="19"/>
          <w:szCs w:val="19"/>
        </w:rPr>
        <w:t xml:space="preserve">Naresh S  |  Roll No: 2436MCA0047  |  Reg. No: 67224200080</w:t>
      </w:r>
    </w:p>
    <w:p>
      <w:pPr>
        <w:pStyle w:val="Heading1"/>
        <w:spacing w:after="200" w:before="100"/>
      </w:pPr>
      <w:r>
        <w:rPr>
          <w:b/>
          <w:bCs/>
          <w:color w:val="1E2761"/>
          <w:sz w:val="30"/>
          <w:szCs w:val="30"/>
        </w:rPr>
        <w:t xml:space="preserve">1. Overall System Design</w:t>
      </w:r>
    </w:p>
    <w:p>
      <w:pPr>
        <w:spacing w:after="160" w:line="268"/>
      </w:pPr>
      <w:r>
        <w:rPr>
          <w:sz w:val="20"/>
          <w:szCs w:val="20"/>
        </w:rPr>
        <w:t xml:space="preserve">This section describes the system as actually implemented at the Second Review stage: a decoupled three-tier architecture matching the one proposed in the First Review, with the full forensics, reconciliation, scoring and human-review pipeline built and tested end-to-end.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1.1 Architecture Overview</w:t>
      </w:r>
    </w:p>
    <w:p>
      <w:pPr>
        <w:spacing w:after="160" w:line="268"/>
      </w:pPr>
      <w:r>
        <w:rPr>
          <w:sz w:val="20"/>
          <w:szCs w:val="20"/>
        </w:rPr>
        <w:t xml:space="preserve">The system is organised into three independently deployable tiers, communicating over HTTPS/REST, matching the block diagram proposed in the First Review (Figure 5.1):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50"/>
      </w:tblGrid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7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 (Next.js 14 / React / Tailwind CSS)</w:t>
            </w:r>
          </w:p>
        </w:tc>
        <w:tc>
          <w:tcPr>
            <w:tcW w:type="dxa" w:w="7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 portal (apply, upload, track status) and loan officer console (queue, split-screen document/heatmap viewer, ledger table, decision panel, audit trail).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Gateway (Node.js 18 / Express)</w:t>
            </w:r>
          </w:p>
        </w:tc>
        <w:tc>
          <w:tcPr>
            <w:tcW w:type="dxa" w:w="7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authentication and role-based access control (Applicant / Officer / Admin), magic-byte file validation, request orchestration, SQLite persistence, asynchronous dispatch of the analysis pipeline.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&amp; Forensics Microservice (Python 3.11 / FastAPI)</w:t>
            </w:r>
          </w:p>
        </w:tc>
        <w:tc>
          <w:tcPr>
            <w:tcW w:type="dxa" w:w="7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structural/metadata inspection, Error Level Analysis, ledger table extraction (pdfplumber + OpenCV-grid + Tesseract OCR fallback), deterministic ledger reconciliation, DTI/AMB calculation, XGBoost credit-risk scoring.</w:t>
            </w:r>
          </w:p>
        </w:tc>
      </w:tr>
    </w:tbl>
    <w:p>
      <w:pPr>
        <w:spacing w:before="200"/>
      </w:pPr>
    </w:p>
    <w:p>
      <w:pPr>
        <w:spacing w:after="160" w:line="268"/>
      </w:pPr>
      <w:r>
        <w:rPr>
          <w:sz w:val="20"/>
          <w:szCs w:val="20"/>
        </w:rPr>
        <w:t xml:space="preserve">Why split this way: the gateway owns identity, authorization and persistence; the Python service owns pure computation (OCR, forensics, ML). Each tier is independently developable and testable, and the forensics service has no knowledge of HTTP sessions or the database – it only receives a file buffer and returns a structured verdict.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1.2 Request Flow and Asynchronous Processing</w:t>
      </w:r>
    </w:p>
    <w:p>
      <w:pPr>
        <w:spacing w:after="160" w:line="268"/>
      </w:pPr>
      <w:r>
        <w:rPr>
          <w:sz w:val="20"/>
          <w:szCs w:val="20"/>
        </w:rPr>
        <w:t xml:space="preserve">A key design decision made since the First Review is that document analysis now runs asynchronously rather than blocking the applicant's upload request. Originally, the upload endpoint awaited the entire forensics + ledger + XGBoost pipeline before responding – on a real document this could take several seconds, during which the applicant's browser simply waited with no feedback.</w:t>
      </w:r>
    </w:p>
    <w:p>
      <w:pPr>
        <w:spacing w:after="160" w:line="268"/>
      </w:pPr>
      <w:r>
        <w:rPr>
          <w:sz w:val="20"/>
          <w:szCs w:val="20"/>
        </w:rPr>
        <w:t xml:space="preserve">The upload endpoint now performs only fast, synchronous validation (magic-byte / MIME check, document-type check), immediately marks the application PROCESSING, and responds within milliseconds. The full pipeline then runs in the background; its result is written to the application record, and the frontend polls the application endpoint every 2.5 seconds while the application is not yet in a final state, so the UI updates itself with no further action from the user.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650"/>
      </w:tblGrid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Submits loan details + uploads a document in one combined form.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Validates magic bytes, creates the application row, sets status = PROCESSING, responds immediately (HTTP 202).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 → Forensics service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Dispatches the file to the FastAPI microservice in the background (not awaited by the HTTP response).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Forensics service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metadata/font inspection, ELA, ledger extraction + reconciliation, DTI/AMB, and calls the XGBoost scorer.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Persists the result, computes the routing decision, writes a WORM audit-log entry, updates application status.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(polling)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 and officer views refresh automatically; the officer sees the full evidence set, the applicant sees only a status timeline.</w:t>
            </w:r>
          </w:p>
        </w:tc>
      </w:tr>
      <w:tr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Officer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Confirms (one click for AUTO_APPROVE) or manually reviews / overrides / rejects; this decision is itself audit-logged.</w:t>
            </w:r>
          </w:p>
        </w:tc>
      </w:tr>
    </w:tbl>
    <w:p>
      <w:pPr>
        <w:spacing w:before="200"/>
      </w:pPr>
    </w:p>
    <w:p>
      <w:pPr>
        <w:spacing w:after="160" w:line="268"/>
      </w:pPr>
      <w:r>
        <w:rPr>
          <w:sz w:val="20"/>
          <w:szCs w:val="20"/>
        </w:rPr>
        <w:t xml:space="preserve">This change was verified with a live timing test against the running services: the upload request returned in under 50 milliseconds in every trial, with the full pipeline result (forensics + ledger + credit score) appearing a few seconds later purely through polling – no page refresh or resubmission required.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1.3 Authentication, Authorization and Input Safety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JWT-based authentication; tokens carry the user's id and role and are validated on every API route.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Role-based access control: an Applicant can only see and act on their own applications; only Officer/Admin roles can issue a decision; the applicant view deliberately omits forensic internals (heatmap, metadata flags, ledger breakdown) – it only ever shows a status timeline and the final outcome.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Magic-byte validation on every upload: the first bytes of the file buffer are checked against known signatures (%PDF-, \xFF\xD8\xFF for JPEG, the PNG signature) before the file is forwarded anywhere – a renamed executable or script cannot pass as a document.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Password-protected PDFs: a session-only passphrase is accepted on upload and used once for that request; it is never written to disk, the database, or a log line. If a document turns out to be encrypted and no password (or the wrong one) was supplied, the application status becomes PASSWORD_REQUIRED and the same upload widget reappears for a retry – the applicant never loses their in-progress application.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1.4 Decision Routing Matrix</w:t>
      </w:r>
    </w:p>
    <w:p>
      <w:pPr>
        <w:spacing w:after="160" w:line="268"/>
      </w:pPr>
      <w:r>
        <w:rPr>
          <w:sz w:val="20"/>
          <w:szCs w:val="20"/>
        </w:rPr>
        <w:t xml:space="preserve">Three independent signals – structural/metadata forensics, ledger-math consistency, and the XGBoost credit score – are combined into one of four outcomes. Only the two fully deterministic checks (metadata fingerprinting and ledger arithmetic) are permitted to drive an automatic reject/fraud-alert; Error Level Analysis is treated as a diagnostic aid shown to the officer rather than an auto-gate, since it produces false positives on clean, sharply-scanned documents – a deliberate deviation from the First Review's original decision table, explained further in the Deviation section of the main Second Review Report.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300"/>
        <w:gridCol w:w="2550"/>
      </w:tblGrid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Metadata / Font Flag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Ledger Math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Credit Score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Routing</w:t>
            </w:r>
          </w:p>
        </w:tc>
      </w:tr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Tampered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REJECT_FRAUD_ALERT</w:t>
            </w:r>
          </w:p>
        </w:tc>
      </w:tr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 / unverifiable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MANUAL_REVIEW</w:t>
            </w:r>
          </w:p>
        </w:tc>
      </w:tr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750 (LOW risk)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AUTO_APPROVE (recommendation)</w:t>
            </w:r>
          </w:p>
        </w:tc>
      </w:tr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600–749 (MEDIUM)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MANUAL_REVIEW</w:t>
            </w:r>
          </w:p>
        </w:tc>
      </w:tr>
      <w:tr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600 (HIGH)</w:t>
            </w:r>
          </w:p>
        </w:tc>
        <w:tc>
          <w:tcPr>
            <w:tcW w:type="dxa" w:w="2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</w:t>
            </w:r>
          </w:p>
        </w:tc>
      </w:tr>
    </w:tbl>
    <w:p>
      <w:pPr>
        <w:spacing w:before="160"/>
      </w:pPr>
    </w:p>
    <w:p>
      <w:pPr>
        <w:spacing w:after="160" w:line="268"/>
      </w:pPr>
      <w:r>
        <w:rPr>
          <w:sz w:val="20"/>
          <w:szCs w:val="20"/>
        </w:rPr>
        <w:t xml:space="preserve">Even AUTO_APPROVE is only ever a recommendation: the officer console shows a “System check passed” panel with a single “Confirm &amp; Approve” action – nothing is finalized without an accountable human decision (see Figure 5).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1.5 Persistence Schema</w:t>
      </w:r>
    </w:p>
    <w:p>
      <w:pPr>
        <w:spacing w:after="160" w:line="268"/>
      </w:pPr>
      <w:r>
        <w:rPr>
          <w:sz w:val="20"/>
          <w:szCs w:val="20"/>
        </w:rPr>
        <w:t xml:space="preserve">Data is persisted across five tables (SQLite in the current prototype; see the Deviation section for why MySQL, as originally proposed, was not used at this stage). Unlike the First Review's ER diagram, which groups the forensic/financial/risk results into JSON sub-documents on the applications table, the implementation uses flat typed columns throughout – simpler to query, index and validate at this scale, at the cost of needing a migration if a field is added later.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5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Key fields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fullName, email (unique), passwordHash, role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Credentials and role for Applicants, Officers and Admins. Passwords are bcrypt-hashed; the plaintext is never stored.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applicantId (FK), loanAmount, tenureMonths, isTampered, tamperConfidence, isMathConsistent, verifiedMonthlyIncome, calculatedDTI, creditScore, riskBand, recommendation, status, lastError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master record for one loan application: the applicant's request, every forensic/financial/risk result, and the current workflow status (including PROCESSING, PASSWORD_REQUIRED and ANALYSIS_FAILED – states introduced for the asynchronous pipeline in Section 1.2).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applicationId (FK), docType, storageKey, mimeType, elaHeatmapBase64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row per uploaded file; the ELA heatmap is stored alongside it so the split-screen viewer can render both without re-running analysis.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ledger_line_items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applicationId (FK), documentId (FK), txnDate, credit, debit, balance, expectedBalance, isMathDrift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row per reconciled transaction; expectedBalance and isMathDrift are the output of the Module 5 reconciliation algorithm (Section 4.2), not re-derived at display time.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applicationId (FK), reviewedBy (FK, nullable), actionTaken, evidenceHash, timestamp</w:t>
            </w:r>
          </w:p>
        </w:tc>
        <w:tc>
          <w:tcPr>
            <w:tcW w:type="dxa" w:w="5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Append-only (WORM) log of every automated check and human decision; reviewedBy is null for system-generated entries.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1.6 Technology Stack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5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Technologies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14 (App Router), React 18, Tailwind CSS, TypeScript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18, Express, better-sqlite3, jsonwebtoken, bcrypt, multer (file upload handling)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Forensics / ML service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3.11, FastAPI, PyMuPDF (fitz), pdfplumber, OpenCV (cv2), Pillow, pytesseract (Tesseract OCR), XGBoost, NumPy, scikit-learn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(WAL mode) for the single-user prototype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 / Tooling</w:t>
            </w:r>
          </w:p>
        </w:tc>
        <w:tc>
          <w:tcPr>
            <w:tcW w:type="dxa" w:w="72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 (browser smoke tests for both applicant and officer flows), ESLint, TypeScript compiler checks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1.7 Live Performance Verification</w:t>
      </w:r>
    </w:p>
    <w:p>
      <w:pPr>
        <w:spacing w:after="160" w:line="268"/>
      </w:pPr>
      <w:r>
        <w:rPr>
          <w:sz w:val="20"/>
          <w:szCs w:val="20"/>
        </w:rPr>
        <w:t xml:space="preserve">The asynchronous upload design described in Section 1.2 was verified against the running services rather than assumed from the code alone: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Upload request latency (magic-byte validation → HTTP 202 response): consistently under 50 milliseconds across repeated trials, regardless of document size or whether the document later turned out to need a password.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Full pipeline turnaround (forensics + ELA + ledger reconciliation + XGBoost scoring, visible to the frontend via polling): a few seconds per document on the development machine, dominated by Tesseract OCR when the OCR fallback path is exercised.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All three decision branches (AUTO_APPROVE, MANUAL_REVIEW, REJECT_FRAUD_ALERT) were driven end-to-end through the real HTTP API – register, create application, upload, poll – not through a mocked UI state, confirming the gateway and forensics service agree on the same outcome the officer console displays.</w:t>
      </w:r>
    </w:p>
    <w:p>
      <w:r>
        <w:br w:type="page"/>
      </w:r>
    </w:p>
    <w:p>
      <w:pPr>
        <w:pStyle w:val="Heading1"/>
        <w:spacing w:after="200" w:before="100"/>
      </w:pPr>
      <w:r>
        <w:rPr>
          <w:b/>
          <w:bCs/>
          <w:color w:val="1E2761"/>
          <w:sz w:val="30"/>
          <w:szCs w:val="30"/>
        </w:rPr>
        <w:t xml:space="preserve">2. Data Set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2.1 Credit-Risk Training Data</w:t>
      </w:r>
    </w:p>
    <w:p>
      <w:pPr>
        <w:spacing w:after="160" w:line="268"/>
      </w:pPr>
      <w:r>
        <w:rPr>
          <w:sz w:val="20"/>
          <w:szCs w:val="20"/>
        </w:rPr>
        <w:t xml:space="preserve">The XGBoost credit-risk model is trained on the public “Give Me Some Credit” dataset (Kaggle), consisting of approximately 150,000 anonymised borrower records with a binary label indicating serious delinquency (90+ days past due) within two years.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50"/>
      </w:tblGrid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SeriousDlqin2yrs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label – 1 if the borrower experienced 90+ days delinquency within two years.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RevolvingUtilizationOfUnsecuredLines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balance on credit cards/lines divided by the sum of credit limits.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Borrower's age in years.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NumberOfTime30-59DaysPastDueNotWorse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of times 30-59 days past due in the last 2 years.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DebtRatio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debt payments, alimony and living costs divided by monthly gross income.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income.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NumberOfOpenCreditLinesAndLoans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of open loans and credit lines.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NumberOfTimes90DaysLate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of times 90+ days past due.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NumberRealEstateLoansOrLines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of mortgage and real-estate loans, including home equity lines.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NumberOfTime60-89DaysPastDueNotWorse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of times 60-89 days past due in the last 2 years.</w:t>
            </w:r>
          </w:p>
        </w:tc>
      </w:tr>
      <w:tr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NumberOfDependents</w:t>
            </w:r>
          </w:p>
        </w:tc>
        <w:tc>
          <w:tcPr>
            <w:tcW w:type="dxa" w:w="65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dependents excluding the borrower (spouse, children, etc.).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sz w:val="21"/>
          <w:szCs w:val="21"/>
        </w:rPr>
        <w:t xml:space="preserve">Dataset Statistics (measured on the actual training data used)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50"/>
      </w:tblGrid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150,000</w:t>
            </w:r>
          </w:p>
        </w:tc>
      </w:tr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Positive label rate (SeriousDlqin2yrs = 1)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6.68%</w:t>
            </w:r>
          </w:p>
        </w:tc>
      </w:tr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MonthlyIncome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29,731 rows (19.8%)</w:t>
            </w:r>
          </w:p>
        </w:tc>
      </w:tr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NumberOfDependents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3,924 rows (2.6%)</w:t>
            </w:r>
          </w:p>
        </w:tc>
      </w:tr>
      <w:tr>
        <w:tc>
          <w:tcPr>
            <w:tcW w:type="dxa" w:w="4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 age / std. dev.</w:t>
            </w:r>
          </w:p>
        </w:tc>
        <w:tc>
          <w:tcPr>
            <w:tcW w:type="dxa" w:w="49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52.3 years / 14.8 years</w:t>
            </w:r>
          </w:p>
        </w:tc>
      </w:tr>
    </w:tbl>
    <w:p>
      <w:pPr>
        <w:spacing w:after="160" w:before="160"/>
      </w:pPr>
      <w:r>
        <w:rPr>
          <w:sz w:val="20"/>
          <w:szCs w:val="20"/>
        </w:rPr>
        <w:t xml:space="preserve">A known data-quality issue in the raw dataset, visible from the measured statistics above, is worth noting honestly: the age column contains a minimum value of 0 and a maximum of 109, both implausible for a loan applicant – clear data-entry artifacts rather than real borrowers. These are treated the same way as the RevolvingUtilization/DebtRatio outliers below (clipped rather than dropped, so a small number of corrupt rows cannot dominate training).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Preprocessing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Missing MonthlyIncome and NumberOfDependents values are median-imputed.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RevolvingUtilization and DebtRatio contain extreme outliers (ratios in the thousands from data-entry artifacts); these are clipped to reasonable upper bounds before training so a handful of corrupt rows cannot dominate the loss.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The label is heavily imbalanced (6.68% positive class, measured above), consistent with real-world default rates – handled via XGBoost's scale_pos_weight rather than naive resampling, to avoid distorting the probability calibration.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Training &amp; Evaluation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80/20 stratified train/validation split, preserving the class ratio in both partitions.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Model: XGBoost gradient-boosted trees (binary:logistic objective), trained on the eleven features above.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Evaluation metric: AUC-ROC on the held-out validation split – achieved ≈ 0.87, meaning the model is quite effective at ranking risky vs. safe borrowers relative to a random baseline of 0.5.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At inference time, the applicant's own stated/verified figures (income, existing debt, dependents) are mapped into this same feature space, along with a verified monthly income figure derived from the applicant's own reconciled bank statement rather than the self-reported number alone.</w:t>
      </w:r>
    </w:p>
    <w:p>
      <w:pPr>
        <w:spacing w:after="160" w:line="268"/>
      </w:pPr>
      <w:r>
        <w:rPr>
          <w:sz w:val="20"/>
          <w:szCs w:val="20"/>
        </w:rPr>
        <w:t xml:space="preserve">The model's scores are illustrative of the ML scoring layer working end-to-end; they are not calibrated against this system's own lending outcomes, since no proprietary underwriting history exists at the prototype stage (see Deviation section).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Feature Importance (measured on the trained model)</w:t>
      </w:r>
    </w:p>
    <w:p>
      <w:pPr>
        <w:spacing w:after="160" w:line="268"/>
      </w:pPr>
      <w:r>
        <w:rPr>
          <w:sz w:val="20"/>
          <w:szCs w:val="20"/>
        </w:rPr>
        <w:t xml:space="preserve">XGBoost's gain-based feature importance, read directly from the trained model, confirms the features the First Review identified as primary risk signals actually dominate the model's decisions – delinquency-history features account for roughly 87% of total importance, far outweighing income or dependents: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700"/>
        <w:gridCol w:w="1750"/>
      </w:tblGrid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Importance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Rank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NumberOfTimes90DaysLate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0.4536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RevolvingUtilizationOfUnsecuredLines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0.1691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NumberOfTime30-59DaysPastDueNotWorse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0.1455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NumberOfTime60-89DaysPastDueNotWorse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0.1202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NumberRealEstateLoansOrLines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0.0303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0.0194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NumberOfOpenCreditLinesAndLoans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0.0167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DebtRatio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0.0166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0.0149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NumberOfDependents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0.0138</w:t>
            </w:r>
          </w:p>
        </w:tc>
        <w:tc>
          <w:tcPr>
            <w:tcW w:type="dxa" w:w="1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2.2 Synthetic Test Documents</w:t>
      </w:r>
    </w:p>
    <w:p>
      <w:pPr>
        <w:spacing w:after="160" w:line="268"/>
      </w:pPr>
      <w:r>
        <w:rPr>
          <w:sz w:val="20"/>
          <w:szCs w:val="20"/>
        </w:rPr>
        <w:t xml:space="preserve">Because no real bank statements are available for testing (and none should be used, for privacy reasons), three synthetic PDF bank statements plus a password-protected variant were generated specifically to exercise every branch of the forensics and reconciliation pipeline: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5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What it demonstrates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9EC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Expected routing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sample_clean.pdf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Internally consistent ledger; no editing-tool metadata fingerprint.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AUTO_APPROVE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sample_tampered.pdf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balance cell edited, breaking the running-balance reconciliation.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MANUAL_REVIEW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sample_photoshopped.pdf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Ledger arithmetic is consistent, but the /Producer tag reads “Adobe Photoshop”.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REJECT_FRAUD_ALERT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Password-encrypted PDF</w:t>
            </w:r>
          </w:p>
        </w:tc>
        <w:tc>
          <w:tcPr>
            <w:tcW w:type="dxa" w:w="4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of the above, re-saved with AES-256 encryption and a user password.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PASSWORD_REQUIRED until the correct password is supplied</w:t>
            </w:r>
          </w:p>
        </w:tc>
      </w:tr>
    </w:tbl>
    <w:p>
      <w:pPr>
        <w:spacing w:before="200"/>
      </w:pPr>
    </w:p>
    <w:p>
      <w:pPr>
        <w:spacing w:after="160" w:line="268"/>
      </w:pPr>
      <w:r>
        <w:rPr>
          <w:sz w:val="20"/>
          <w:szCs w:val="20"/>
        </w:rPr>
        <w:t xml:space="preserve">All four were generated programmatically (PyMuPDF + ReportLab) so the exact ledger numbers, metadata tags and encryption are known in advance, making every expected outcome in the Test Cases table independently verifiable rather than assumed.</w:t>
      </w:r>
    </w:p>
    <w:p>
      <w:r>
        <w:br w:type="page"/>
      </w:r>
    </w:p>
    <w:p>
      <w:pPr>
        <w:pStyle w:val="Heading1"/>
        <w:spacing w:after="200" w:before="100"/>
      </w:pPr>
      <w:r>
        <w:rPr>
          <w:b/>
          <w:bCs/>
          <w:color w:val="1E2761"/>
          <w:sz w:val="30"/>
          <w:szCs w:val="30"/>
        </w:rPr>
        <w:t xml:space="preserve">3. Modules Completed with Screenshot</w:t>
      </w:r>
    </w:p>
    <w:p>
      <w:pPr>
        <w:spacing w:after="160" w:line="268"/>
      </w:pPr>
      <w:r>
        <w:rPr>
          <w:sz w:val="20"/>
          <w:szCs w:val="20"/>
        </w:rPr>
        <w:t xml:space="preserve">All nine modules from the First Review's eight-week work plan are implemented and have been exercised end-to-end against the running application – the screenshots below were captured from a live session (not mocked), using the clean, tampered and Photoshop-fingerprinted sample documents to drive the system through every decision branch.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1 – Secure Authentication &amp; Role-Based Access</w:t>
      </w:r>
    </w:p>
    <w:p>
      <w:pPr>
        <w:spacing w:after="160" w:line="268"/>
      </w:pPr>
      <w:r>
        <w:rPr>
          <w:sz w:val="20"/>
          <w:szCs w:val="20"/>
        </w:rPr>
        <w:t xml:space="preserve">JWT-based login/registration with two selectable roles (Applicant, Loan Officer); every API route is authorized server-side against the token's role, not just hidden in the UI.</w:t>
      </w:r>
    </w:p>
    <w:p>
      <w:pPr>
        <w:spacing w:after="4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1. Registration screen – role selection (Applicant / Loan Officer) feeds directly into RBAC.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2 – Application &amp; Document Intake</w:t>
      </w:r>
    </w:p>
    <w:p>
      <w:pPr>
        <w:spacing w:after="160" w:line="268"/>
      </w:pPr>
      <w:r>
        <w:rPr>
          <w:sz w:val="20"/>
          <w:szCs w:val="20"/>
        </w:rPr>
        <w:t xml:space="preserve">Loan details and the supporting document are submitted together in a single form, with magic-byte file validation and an optional password field for encrypted PDFs.</w:t>
      </w:r>
    </w:p>
    <w:p>
      <w:pPr>
        <w:spacing w:after="40"/>
        <w:jc w:val="center"/>
      </w:pPr>
      <w:r>
        <w:drawing>
          <wp:inline distT="0" distB="0" distL="0" distR="0">
            <wp:extent cx="3810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2. Combined apply + upload form, including the optional document-password field.</w:t>
      </w:r>
    </w:p>
    <w:p>
      <w:pPr>
        <w:spacing w:after="160" w:line="268"/>
      </w:pPr>
      <w:r>
        <w:rPr>
          <w:sz w:val="20"/>
          <w:szCs w:val="20"/>
        </w:rPr>
        <w:t xml:space="preserve">On submit, the applicant is redirected immediately with a success banner while analysis continues in the background – this is the asynchronous design described in Section 1.2.</w:t>
      </w:r>
    </w:p>
    <w:p>
      <w:pPr>
        <w:spacing w:after="4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3. Immediate “submitted successfully” acknowledgement and live status timeline, shown while the backend pipeline is still running.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3 – Structural / Metadata Forensics</w:t>
      </w:r>
    </w:p>
    <w:p>
      <w:pPr>
        <w:spacing w:after="160" w:line="268"/>
      </w:pPr>
      <w:r>
        <w:rPr>
          <w:sz w:val="20"/>
          <w:szCs w:val="20"/>
        </w:rPr>
        <w:t xml:space="preserve">PyMuPDF traverses the PDF's internal structure – the /Producer, /Creator and /ModDate tags, and the font resource dictionaries of every page – to detect the fingerprint of an editing tool (Photoshop, Canva, generic PDF editors) or a spliced/substituted font family. This is a deterministic, zero-false-positive check: either the tag matches a known editing tool or it does not.</w:t>
      </w:r>
    </w:p>
    <w:p>
      <w:pPr>
        <w:spacing w:after="160" w:line="268"/>
      </w:pPr>
      <w:r>
        <w:rPr>
          <w:sz w:val="20"/>
          <w:szCs w:val="20"/>
        </w:rPr>
        <w:t xml:space="preserve">Figure 7 (fraud scenario, Module 7 below) shows this module in action – the officer console surfaces a red “Forensic anomalies detected” banner reading “Document Producer/Creator matches known editing tool: 'photoshop'”, which alone is sufficient to route the application to REJECT_FRAUD_ALERT regardless of the credit score.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4 – Error Level Analysis (ELA)</w:t>
      </w:r>
    </w:p>
    <w:p>
      <w:pPr>
        <w:spacing w:after="160" w:line="268"/>
      </w:pPr>
      <w:r>
        <w:rPr>
          <w:sz w:val="20"/>
          <w:szCs w:val="20"/>
        </w:rPr>
        <w:t xml:space="preserve">A deterministic image-forensics formula: the document page is recompressed at a fixed JPEG quality, and the pixel-level difference between the original and the recompressed version is rendered as a heatmap – regions that were edited after the original save tend to compress differently and light up. The split-screen viewer (visible in every officer screenshot in this section) places the original document and its ELA heatmap side by side for direct visual comparison.</w:t>
      </w:r>
    </w:p>
    <w:p>
      <w:pPr>
        <w:spacing w:after="160" w:line="268"/>
      </w:pPr>
      <w:r>
        <w:rPr>
          <w:sz w:val="20"/>
          <w:szCs w:val="20"/>
        </w:rPr>
        <w:t xml:space="preserve">ELA is deliberately kept diagnostic-only in this implementation (see Section 1.4): it is shown to the officer as a visual aid, but it never by itself triggers an automatic rejection, because it is prone to false positives on clean, sharply-scanned documents.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5 – Ledger Extraction &amp; Reconciliation</w:t>
      </w:r>
    </w:p>
    <w:p>
      <w:pPr>
        <w:spacing w:after="160" w:line="268"/>
      </w:pPr>
      <w:r>
        <w:rPr>
          <w:sz w:val="20"/>
          <w:szCs w:val="20"/>
        </w:rPr>
        <w:t xml:space="preserve">Transaction tables are extracted via pdfplumber for digital PDFs, with an OpenCV grid-detection + Tesseract OCR fallback for scanned statements. Every row is then checked with exact-precision decimal arithmetic: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Expected_Balanceᵢ = Balanceᵢ₋₁ + Creditᵢ − Debitᵢ</w:t>
      </w:r>
    </w:p>
    <w:p>
      <w:pPr>
        <w:spacing w:after="160" w:line="268"/>
      </w:pPr>
      <w:r>
        <w:rPr>
          <w:sz w:val="20"/>
          <w:szCs w:val="20"/>
        </w:rPr>
        <w:t xml:space="preserve">A row where |Balanceᵢ − Expected_Balanceᵢ| exceeds a small tolerance is flagged as a math drift and highlighted in red in the officer's ledger table – shown clearly in Figure 6, where two consecutive rows fail the check after a deliberately altered balance cell.</w:t>
      </w:r>
    </w:p>
    <w:p>
      <w:pPr>
        <w:spacing w:after="40"/>
        <w:jc w:val="center"/>
      </w:pPr>
      <w:r>
        <w:drawing>
          <wp:inline distT="0" distB="0" distL="0" distR="0">
            <wp:extent cx="314325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6. Manual-review case: ledger rows flagged in red where the running balance fails reconciliation, routing this application to MANUAL_REVIEW.</w:t>
      </w:r>
    </w:p>
    <w:p>
      <w:pPr>
        <w:spacing w:after="160" w:line="268"/>
      </w:pPr>
      <w:r>
        <w:rPr>
          <w:sz w:val="20"/>
          <w:szCs w:val="20"/>
        </w:rPr>
        <w:t xml:space="preserve">On total extraction failure (e.g. an unsupported scanned layout), the system does not silently assume the ledger is consistent – it records isMathConsistent as unknown, adds a visible anomaly note, and routes to MANUAL_REVIEW instead of auto-approving on missing evidence.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6 – Solvency Metrics &amp; Credit Risk Scoring</w:t>
      </w:r>
    </w:p>
    <w:p>
      <w:pPr>
        <w:spacing w:after="160" w:line="268"/>
      </w:pPr>
      <w:r>
        <w:rPr>
          <w:sz w:val="20"/>
          <w:szCs w:val="20"/>
        </w:rPr>
        <w:t xml:space="preserve">Debt-to-Income and Average Monthly Balance are computed deterministically from the verified ledger, and fed – together with age, existing debt and dependents – into the XGBoost model described in Section 2.1 to produce a 300–900 credit score and a LOW / MEDIUM / HIGH risk band. These figures are displayed as summary cards at the top of every officer review screen (see Figures 5–7).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7 – Decision Routing Engine</w:t>
      </w:r>
    </w:p>
    <w:p>
      <w:pPr>
        <w:spacing w:after="160" w:line="268"/>
      </w:pPr>
      <w:r>
        <w:rPr>
          <w:sz w:val="20"/>
          <w:szCs w:val="20"/>
        </w:rPr>
        <w:t xml:space="preserve">The deterministic tri/four-state matrix from Section 1.4 combines the outputs of Modules 3, 5 and 6 into a single recommendation, shown as a status/recommendation badge pair at the top of the officer's view. All three branches were exercised live:</w:t>
      </w:r>
    </w:p>
    <w:p>
      <w:pPr>
        <w:spacing w:after="40"/>
        <w:jc w:val="center"/>
      </w:pPr>
      <w:r>
        <w:drawing>
          <wp:inline distT="0" distB="0" distL="0" distR="0">
            <wp:extent cx="314325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5. AUTO_APPROVE case – all three checks cleared; the officer still confirms with one click rather than the system finalizing silently.</w:t>
      </w:r>
    </w:p>
    <w:p>
      <w:pPr>
        <w:spacing w:after="40"/>
        <w:jc w:val="center"/>
      </w:pPr>
      <w:r>
        <w:drawing>
          <wp:inline distT="0" distB="0" distL="0" distR="0">
            <wp:extent cx="314325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7. REJECT_FRAUD_ALERT case – the metadata forensic anomaly (Module 3) alone is sufficient to auto-reject.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8 – Officer Review &amp; Human-in-the-Loop Confirmation</w:t>
      </w:r>
    </w:p>
    <w:p>
      <w:pPr>
        <w:spacing w:after="160" w:line="268"/>
      </w:pPr>
      <w:r>
        <w:rPr>
          <w:sz w:val="20"/>
          <w:szCs w:val="20"/>
        </w:rPr>
        <w:t xml:space="preserve">Every application – including an AUTO_APPROVE recommendation – requires an explicit officer action before it is finalized. Figure 5 shows the one-click “Confirm &amp; Approve” path offered when every automated check has already passed; Figure 6 shows the full manual panel (Approve / Override &amp; Approve / Reject, with optional notes) offered for MANUAL_REVIEW cases. On the applicant side, none of this forensic detail is exposed – only a status timeline and the final outcome are shown, consistent with the role-based design in Section 1.3:</w:t>
      </w:r>
    </w:p>
    <w:p>
      <w:pPr>
        <w:spacing w:after="4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8. Applicant's own view of the same application after the officer's approval – status only, no forensic internals.</w:t>
      </w:r>
    </w:p>
    <w:p>
      <w:pPr>
        <w:spacing w:after="160" w:line="268"/>
      </w:pPr>
      <w:r>
        <w:rPr>
          <w:sz w:val="20"/>
          <w:szCs w:val="20"/>
        </w:rPr>
        <w:t xml:space="preserve">The underwriting queue itself (Figure 4) lets an officer move between applications without returning to a separate list page, each entry showing its live status and recommendation badge.</w:t>
      </w:r>
    </w:p>
    <w:p>
      <w:pPr>
        <w:spacing w:after="4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7"/>
          <w:szCs w:val="17"/>
        </w:rPr>
        <w:t xml:space="preserve">Figure 4. Officer's underwriting queue – persistent sidebar, live status per application.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Module 9 – Audit Logging</w:t>
      </w:r>
    </w:p>
    <w:p>
      <w:pPr>
        <w:spacing w:after="160" w:line="268"/>
      </w:pPr>
      <w:r>
        <w:rPr>
          <w:sz w:val="20"/>
          <w:szCs w:val="20"/>
        </w:rPr>
        <w:t xml:space="preserve">Every automated check and every human decision is written to an append-only (Write-Once-Read-Many) audit log, each entry carrying a SHA-256 hash of the evidence it refers to, the reviewing officer's identity (or “system” for automated entries) and a timestamp. This is visible at the bottom of every officer review screen (Figures 5–7) – e.g. an “AUTOMATED_ANALYSIS” entry recording the system's recommendation, followed by an “APPROVE by &lt;officer name&gt;” entry once a human confirms it. This produces an independently verifiable record that a disputed decision can later be proven to match the exact evidence it was based on.</w:t>
      </w:r>
    </w:p>
    <w:p>
      <w:r>
        <w:br w:type="page"/>
      </w:r>
    </w:p>
    <w:p>
      <w:pPr>
        <w:pStyle w:val="Heading1"/>
        <w:spacing w:after="200" w:before="100"/>
      </w:pPr>
      <w:r>
        <w:rPr>
          <w:b/>
          <w:bCs/>
          <w:color w:val="1E2761"/>
          <w:sz w:val="30"/>
          <w:szCs w:val="30"/>
        </w:rPr>
        <w:t xml:space="preserve">4. Pseudo Code for Incomplete Modules</w:t>
      </w:r>
    </w:p>
    <w:p>
      <w:pPr>
        <w:spacing w:after="160" w:line="268"/>
      </w:pPr>
      <w:r>
        <w:rPr>
          <w:sz w:val="20"/>
          <w:szCs w:val="20"/>
        </w:rPr>
        <w:t xml:space="preserve">All nine modules from the First Review's Week 1–8 work plan are functionally complete and have been exercised end-to-end against the running application, as demonstrated in Section 3 with live screenshots rather than mock-ups. No module is incomplete at this review stage, so there is no pending work requiring pseudocode.</w:t>
      </w:r>
    </w:p>
    <w:p>
      <w:pPr>
        <w:spacing w:after="160" w:line="268"/>
      </w:pPr>
      <w:r>
        <w:rPr>
          <w:sz w:val="20"/>
          <w:szCs w:val="20"/>
        </w:rPr>
        <w:t xml:space="preserve">For completeness and as an engineering reference, the pseudocode for the three core deterministic algorithms – already implemented and tested – is included below.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4.1 Error Level Analysis (Module 4)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function runErrorLevelAnalysis(pageImage):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original ← decodeToRGB(pageImage)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recompressed ← JPEGEncode(original, quality = 92)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diff ← abs(original − recompressed)              // per-pixel luminance difference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heatmap ← clip(diff × 15, 0, 255)                // scale factor S = 15, 8-bit grayscale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tamperScore ← (stdDev(diff) / (mean(diff) + 1e-5)) × 10.0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tamperScore &gt; 35.0 or max(diff) &gt; 220: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return { tampered: true, heatmap, tamperScore }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return { tampered: false, heatmap, tamperScore }       // shown to officer regardless; never auto-gates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4.2 Deterministic Ledger Reconciliation (Module 5)</w:t>
      </w:r>
    </w:p>
    <w:p>
      <w:pPr>
        <w:spacing w:after="60" w:before="160"/>
      </w:pPr>
      <w:r>
        <w:rPr>
          <w:rFonts w:ascii="Consolas" w:cs="Consolas" w:eastAsia="Consolas" w:hAnsi="Consolas"/>
          <w:sz w:val="19"/>
          <w:szCs w:val="19"/>
        </w:rPr>
        <w:t xml:space="preserve">function reconcileLedger(rows):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rows ← sortByDate(rows)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balance ← rows[0].balance                           // opening balance, taken as the anchor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for i in 1..len(rows):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expected ← balance + rows[i].credit − rows[i].debit   // exact Decimal arithmetic, no floats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rows[i].expectedBalance ← expected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rows[i].isMathDrift ← abs(rows[i].balance − expected) &gt; 0.01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balance ← rows[i].balance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rows is empty: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return { isMathConsistent: null, extractionFailed: true }   // never silently 'consistent'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return { isMathConsistent: not any(r.isMathDrift for r in rows), rows }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4.3 Decision Routing (Module 7)</w:t>
      </w:r>
    </w:p>
    <w:p>
      <w:pPr>
        <w:spacing w:after="60" w:before="160"/>
      </w:pPr>
      <w:r>
        <w:rPr>
          <w:rFonts w:ascii="Consolas" w:cs="Consolas" w:eastAsia="Consolas" w:hAnsi="Consolas"/>
          <w:sz w:val="19"/>
          <w:szCs w:val="19"/>
        </w:rPr>
        <w:t xml:space="preserve">function routeDecision(isTampered, isMathConsistent, creditScore):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isTampered: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return REJECT_FRAUD_ALERT                       // metadata/font fingerprint only - never ELA alone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isMathConsistent is null or isMathConsistent == false: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    return MANUAL_REVIEW                            // drift, or extraction failed - never assumed clean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creditScore &gt;= 750:  return AUTO_APPROVE          // recommendation only - officer still confirms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if creditScore &gt;= 600:  return MANUAL_REVIEW</w:t>
      </w:r>
    </w:p>
    <w:p>
      <w:pPr>
        <w:spacing w:after="40"/>
        <w:ind w:left="300"/>
      </w:pPr>
      <w:r>
        <w:rPr>
          <w:rFonts w:ascii="Consolas" w:cs="Consolas" w:eastAsia="Consolas" w:hAnsi="Consolas"/>
          <w:sz w:val="18"/>
          <w:szCs w:val="18"/>
        </w:rPr>
        <w:t xml:space="preserve">return REJECT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▪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41f14c9a93ca41bd212b1a92b8ede84d41de5f.png"/><Relationship Id="rId8" Type="http://schemas.openxmlformats.org/officeDocument/2006/relationships/image" Target="media/f614a1b2ef8a6bc4b8dda4103d8805b8c3c460c4.png"/><Relationship Id="rId9" Type="http://schemas.openxmlformats.org/officeDocument/2006/relationships/image" Target="media/b3df203f194e14a3e5288847727e9ba8f2628be0.png"/><Relationship Id="rId10" Type="http://schemas.openxmlformats.org/officeDocument/2006/relationships/image" Target="media/fd4ef0c7e08f3de45f050197649dcd779ed82478.png"/><Relationship Id="rId11" Type="http://schemas.openxmlformats.org/officeDocument/2006/relationships/image" Target="media/de99220a5c328c37917fef0e487b9eeabc9d7e13.png"/><Relationship Id="rId12" Type="http://schemas.openxmlformats.org/officeDocument/2006/relationships/image" Target="media/aea63888b2cb97b4c0aa74697ee54e7b09ca5ea9.png"/><Relationship Id="rId13" Type="http://schemas.openxmlformats.org/officeDocument/2006/relationships/image" Target="media/c95cd02f71b70c52ac46364b8c0e1fea8b16223b.png"/><Relationship Id="rId14" Type="http://schemas.openxmlformats.org/officeDocument/2006/relationships/image" Target="media/72c8e3b7344e0337cbcb96466d5764bef32df01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2026-10-22T16:11:39.960Z</dcterms:created>
  <dcterms:modified xsi:type="dcterms:W3CDTF">2026-10-22T16:11:39.961Z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