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6440"/>
        <w:gridCol w:w="2200"/>
      </w:tblGrid>
      <w:tr>
        <w:tc>
          <w:tcPr>
            <w:tcW w:type="dxa" w:w="16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7150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4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CENTRE FOR DISTANCE EDUCATION</w:t>
            </w:r>
          </w:p>
          <w:p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ANNA UNIVERSITY</w:t>
            </w:r>
          </w:p>
          <w:p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CHENNAI - 600 025</w:t>
            </w:r>
          </w:p>
        </w:tc>
        <w:tc>
          <w:tcPr>
            <w:tcW w:type="dxa" w:w="22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Office: 2235 7222</w:t>
            </w:r>
          </w:p>
          <w:p>
            <w:r>
              <w:rPr>
                <w:sz w:val="18"/>
                <w:szCs w:val="18"/>
              </w:rPr>
              <w:t xml:space="preserve">E-mail: cdestudycentre@gmail.com</w:t>
            </w:r>
          </w:p>
        </w:tc>
      </w:tr>
    </w:tbl>
    <w:p>
      <w:pPr>
        <w:spacing w:before="240"/>
      </w:pPr>
      <w:r>
        <w:rPr>
          <w:b/>
          <w:bCs/>
          <w:sz w:val="22"/>
          <w:szCs w:val="22"/>
        </w:rPr>
        <w:t xml:space="preserve">D123 - CDE Study Centre</w:t>
      </w:r>
      <w:r>
        <w:rPr>
          <w:b/>
          <w:bCs/>
          <w:sz w:val="22"/>
          <w:szCs w:val="22"/>
        </w:rPr>
        <w:t xml:space="preserve">					Programme : MCA</w:t>
      </w:r>
    </w:p>
    <w:p>
      <w:pPr>
        <w:spacing w:after="200" w:before="120"/>
      </w:pPr>
      <w:r>
        <w:rPr>
          <w:b/>
          <w:bCs/>
          <w:sz w:val="22"/>
          <w:szCs w:val="22"/>
        </w:rPr>
        <w:t xml:space="preserve">IV SEM – SET : </w:t>
      </w:r>
    </w:p>
    <w:p>
      <w:pPr>
        <w:pBdr>
          <w:bottom w:val="single" w:color="000000" w:sz="6"/>
        </w:pBdr>
        <w:spacing w:after="200"/>
        <w:jc w:val="center"/>
      </w:pPr>
      <w:r>
        <w:rPr>
          <w:b/>
          <w:bCs/>
          <w:sz w:val="26"/>
          <w:szCs w:val="26"/>
          <w:u w:val="single"/>
        </w:rPr>
        <w:t xml:space="preserve">SECOND REVIEW REPORT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640"/>
      </w:tblGrid>
      <w:tr>
        <w:tc>
          <w:tcPr>
            <w:tcW w:type="dxa" w:w="26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NAME</w:t>
            </w:r>
          </w:p>
        </w:tc>
        <w:tc>
          <w:tcPr>
            <w:tcW w:type="dxa" w:w="764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Naresh S</w:t>
            </w:r>
          </w:p>
        </w:tc>
      </w:tr>
      <w:tr>
        <w:tc>
          <w:tcPr>
            <w:tcW w:type="dxa" w:w="26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ROLL NO</w:t>
            </w:r>
          </w:p>
        </w:tc>
        <w:tc>
          <w:tcPr>
            <w:tcW w:type="dxa" w:w="764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2436MCA0047</w:t>
            </w:r>
          </w:p>
        </w:tc>
      </w:tr>
      <w:tr>
        <w:tc>
          <w:tcPr>
            <w:tcW w:type="dxa" w:w="26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REG.NO</w:t>
            </w:r>
          </w:p>
        </w:tc>
        <w:tc>
          <w:tcPr>
            <w:tcW w:type="dxa" w:w="764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67224200080</w:t>
            </w:r>
          </w:p>
        </w:tc>
      </w:tr>
      <w:tr>
        <w:tc>
          <w:tcPr>
            <w:tcW w:type="dxa" w:w="26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EMAIL-ID</w:t>
            </w:r>
          </w:p>
        </w:tc>
        <w:tc>
          <w:tcPr>
            <w:tcW w:type="dxa" w:w="764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nsv.yogesh8@gmail.com</w:t>
            </w:r>
          </w:p>
        </w:tc>
      </w:tr>
    </w:tbl>
    <w:p>
      <w:pPr>
        <w:spacing w:after="80" w:before="240"/>
      </w:pPr>
      <w:r>
        <w:rPr>
          <w:b/>
          <w:bCs/>
          <w:sz w:val="22"/>
          <w:szCs w:val="22"/>
        </w:rPr>
        <w:t xml:space="preserve">TITLE OF THE PROJECT:</w:t>
      </w:r>
    </w:p>
    <w:p>
      <w:pPr>
        <w:spacing w:after="300"/>
      </w:pPr>
      <w:r>
        <w:rPr>
          <w:sz w:val="22"/>
          <w:szCs w:val="22"/>
        </w:rPr>
        <w:t xml:space="preserve">Automated AI-Driven Loan Underwriting &amp; Document Fraud Detection System</w:t>
      </w:r>
    </w:p>
    <w:p>
      <w:pPr>
        <w:spacing w:after="100" w:before="400"/>
      </w:pPr>
      <w:r>
        <w:rPr>
          <w:i/>
          <w:iCs/>
          <w:sz w:val="22"/>
          <w:szCs w:val="22"/>
        </w:rPr>
        <w:t xml:space="preserve">Signature of the Guide:				</w:t>
      </w:r>
      <w:r>
        <w:rPr>
          <w:sz w:val="22"/>
          <w:szCs w:val="22"/>
        </w:rPr>
        <w:t xml:space="preserve">Guide Name and Designation: Institution:</w:t>
      </w:r>
    </w:p>
    <w:p>
      <w:pPr>
        <w:spacing w:after="200" w:before="60"/>
        <w:ind w:left="4752"/>
      </w:pPr>
      <w:r>
        <w:rPr>
          <w:sz w:val="21"/>
          <w:szCs w:val="21"/>
        </w:rPr>
        <w:t xml:space="preserve">Dr. R. Baskaran, Professor</w:t>
      </w:r>
    </w:p>
    <w:p>
      <w:pPr>
        <w:ind w:left="4752"/>
      </w:pPr>
      <w:r>
        <w:rPr>
          <w:sz w:val="21"/>
          <w:szCs w:val="21"/>
        </w:rPr>
        <w:t xml:space="preserve">Dept. of CSE, CEG Campus, Anna University, Chennai - 25</w:t>
      </w:r>
    </w:p>
    <w:p>
      <w:pPr>
        <w:pBdr>
          <w:top w:val="single" w:color="000000" w:sz="6"/>
        </w:pBdr>
        <w:spacing w:after="160" w:before="300"/>
      </w:pPr>
      <w:r>
        <w:rPr>
          <w:b/>
          <w:bCs/>
          <w:sz w:val="22"/>
          <w:szCs w:val="22"/>
        </w:rPr>
        <w:t xml:space="preserve">REMARKS (by Project Monitoring Committee)</w:t>
      </w:r>
    </w:p>
    <w:p>
      <w:pPr>
        <w:pBdr>
          <w:bottom w:val="single" w:color="808080" w:sz="4"/>
        </w:pBdr>
        <w:spacing w:after="100"/>
      </w:pPr>
      <w:r>
        <w:rPr>
          <w:sz w:val="22"/>
          <w:szCs w:val="22"/>
        </w:rPr>
        <w:t xml:space="preserve"> </w:t>
      </w:r>
    </w:p>
    <w:p>
      <w:pPr>
        <w:pBdr>
          <w:bottom w:val="single" w:color="808080" w:sz="4"/>
        </w:pBdr>
        <w:spacing w:after="100"/>
      </w:pPr>
      <w:r>
        <w:rPr>
          <w:sz w:val="22"/>
          <w:szCs w:val="22"/>
        </w:rPr>
        <w:t xml:space="preserve"> </w:t>
      </w:r>
    </w:p>
    <w:p>
      <w:pPr>
        <w:pBdr>
          <w:bottom w:val="single" w:color="808080" w:sz="4"/>
        </w:pBdr>
        <w:spacing w:after="300"/>
      </w:pPr>
      <w:r>
        <w:rPr>
          <w:sz w:val="22"/>
          <w:szCs w:val="22"/>
        </w:rPr>
        <w:t xml:space="preserve"> </w:t>
      </w:r>
    </w:p>
    <w:p>
      <w:pPr>
        <w:spacing w:after="200" w:before="300"/>
        <w:jc w:val="center"/>
      </w:pPr>
      <w:r>
        <w:rPr>
          <w:b/>
          <w:bCs/>
          <w:sz w:val="22"/>
          <w:szCs w:val="22"/>
          <w:u w:val="single"/>
        </w:rPr>
        <w:t xml:space="preserve">RECOMMENDED / NOT RECOMMENDED TO PROCEED WITH THE PROJECT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7"/>
        <w:gridCol w:w="1607"/>
        <w:gridCol w:w="1607"/>
        <w:gridCol w:w="1607"/>
        <w:gridCol w:w="1607"/>
        <w:gridCol w:w="1607"/>
      </w:tblGrid>
      <w:tr>
        <w:tc>
          <w:tcPr>
            <w:tcW w:type="dxa" w:w="160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System Design : 4</w:t>
            </w:r>
          </w:p>
        </w:tc>
        <w:tc>
          <w:tcPr>
            <w:tcW w:type="dxa" w:w="160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Data Set : 6</w:t>
            </w:r>
          </w:p>
        </w:tc>
        <w:tc>
          <w:tcPr>
            <w:tcW w:type="dxa" w:w="160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Modules Completed : 14</w:t>
            </w:r>
          </w:p>
        </w:tc>
        <w:tc>
          <w:tcPr>
            <w:tcW w:type="dxa" w:w="160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Pseudo code : 2</w:t>
            </w:r>
          </w:p>
        </w:tc>
        <w:tc>
          <w:tcPr>
            <w:tcW w:type="dxa" w:w="160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Contribution : 4</w:t>
            </w:r>
          </w:p>
        </w:tc>
        <w:tc>
          <w:tcPr>
            <w:tcW w:type="dxa" w:w="160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Total : 30 Marks</w:t>
            </w:r>
          </w:p>
        </w:tc>
      </w:tr>
      <w:tr>
        <w:tc>
          <w:tcPr>
            <w:tcW w:type="dxa" w:w="160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300"/>
              <w:left w:type="dxa" w:w="80"/>
              <w:bottom w:type="dxa" w:w="30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160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300"/>
              <w:left w:type="dxa" w:w="80"/>
              <w:bottom w:type="dxa" w:w="30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160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300"/>
              <w:left w:type="dxa" w:w="80"/>
              <w:bottom w:type="dxa" w:w="30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160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300"/>
              <w:left w:type="dxa" w:w="80"/>
              <w:bottom w:type="dxa" w:w="30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160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300"/>
              <w:left w:type="dxa" w:w="80"/>
              <w:bottom w:type="dxa" w:w="30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1607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300"/>
              <w:left w:type="dxa" w:w="80"/>
              <w:bottom w:type="dxa" w:w="30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</w:tr>
    </w:tbl>
    <w:p>
      <w:pPr>
        <w:spacing w:before="500"/>
      </w:pPr>
      <w:r>
        <w:rPr>
          <w:b/>
          <w:bCs/>
          <w:sz w:val="22"/>
          <w:szCs w:val="22"/>
        </w:rPr>
        <w:t xml:space="preserve">Signature of the PMC In-charge				</w:t>
      </w:r>
      <w:r>
        <w:rPr>
          <w:b/>
          <w:bCs/>
          <w:sz w:val="22"/>
          <w:szCs w:val="22"/>
        </w:rPr>
        <w:t xml:space="preserve">Signature of the PMC Member</w:t>
      </w:r>
    </w:p>
    <w:p>
      <w:pPr>
        <w:sectPr>
          <w:pgSz w:w="12240" w:h="15840" w:orient="portrait"/>
          <w:pgMar w:top="900" w:right="1000" w:bottom="900" w:left="1000" w:header="708" w:footer="708" w:gutter="0"/>
          <w:pgNumType/>
          <w:docGrid w:linePitch="360"/>
        </w:sectPr>
      </w:pPr>
    </w:p>
    <w:p>
      <w:pPr>
        <w:spacing w:after="240"/>
        <w:jc w:val="center"/>
      </w:pPr>
      <w:r>
        <w:rPr>
          <w:b/>
          <w:bCs/>
          <w:sz w:val="26"/>
          <w:szCs w:val="26"/>
          <w:u w:val="single"/>
        </w:rPr>
        <w:t xml:space="preserve">Second Review Report</w:t>
      </w:r>
    </w:p>
    <w:p>
      <w:pPr>
        <w:spacing w:after="240"/>
      </w:pPr>
      <w:r>
        <w:rPr>
          <w:i/>
          <w:iCs/>
          <w:sz w:val="22"/>
          <w:szCs w:val="22"/>
        </w:rPr>
        <w:t xml:space="preserve">(Submitted by Candidate's Name </w:t>
      </w:r>
      <w:r>
        <w:rPr>
          <w:b/>
          <w:bCs/>
          <w:sz w:val="22"/>
          <w:szCs w:val="22"/>
        </w:rPr>
        <w:t xml:space="preserve">Naresh S</w:t>
      </w:r>
      <w:r>
        <w:rPr>
          <w:i/>
          <w:iCs/>
          <w:sz w:val="22"/>
          <w:szCs w:val="22"/>
        </w:rPr>
        <w:t xml:space="preserve">, Roll No: </w:t>
      </w:r>
      <w:r>
        <w:rPr>
          <w:b/>
          <w:bCs/>
          <w:sz w:val="22"/>
          <w:szCs w:val="22"/>
        </w:rPr>
        <w:t xml:space="preserve">2436MCA0047</w:t>
      </w:r>
      <w:r>
        <w:rPr>
          <w:i/>
          <w:iCs/>
          <w:sz w:val="22"/>
          <w:szCs w:val="22"/>
        </w:rPr>
        <w:t xml:space="preserve">; Reg. No: </w:t>
      </w:r>
      <w:r>
        <w:rPr>
          <w:b/>
          <w:bCs/>
          <w:sz w:val="22"/>
          <w:szCs w:val="22"/>
        </w:rPr>
        <w:t xml:space="preserve">67224200080</w:t>
      </w:r>
      <w:r>
        <w:rPr>
          <w:i/>
          <w:iCs/>
          <w:sz w:val="22"/>
          <w:szCs w:val="22"/>
        </w:rPr>
        <w:t xml:space="preserve">)</w:t>
      </w:r>
    </w:p>
    <w:p>
      <w:pPr>
        <w:spacing w:after="80"/>
      </w:pPr>
      <w:r>
        <w:rPr>
          <w:b/>
          <w:bCs/>
          <w:sz w:val="23"/>
          <w:szCs w:val="23"/>
        </w:rPr>
        <w:t xml:space="preserve">Title of the Project</w:t>
      </w:r>
    </w:p>
    <w:p>
      <w:pPr>
        <w:spacing w:after="160" w:line="276"/>
      </w:pPr>
      <w:r>
        <w:rPr>
          <w:sz w:val="22"/>
          <w:szCs w:val="22"/>
        </w:rPr>
        <w:t xml:space="preserve">Automated AI-Driven Loan Underwriting &amp; Document Fraud Detection System</w:t>
      </w:r>
    </w:p>
    <w:p>
      <w:pPr>
        <w:spacing w:after="120" w:before="260"/>
      </w:pPr>
      <w:r>
        <w:rPr>
          <w:b/>
          <w:bCs/>
          <w:color w:val="1E2761"/>
          <w:sz w:val="24"/>
          <w:szCs w:val="24"/>
        </w:rPr>
        <w:t xml:space="preserve">Work completed so far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Overall System Design</w:t>
      </w:r>
    </w:p>
    <w:p>
      <w:pPr>
        <w:pStyle w:val="ListParagraph"/>
        <w:numPr>
          <w:ilvl w:val="1"/>
          <w:numId w:val="2"/>
        </w:numPr>
        <w:spacing w:after="80" w:line="276"/>
      </w:pPr>
      <w:r>
        <w:rPr>
          <w:sz w:val="21"/>
          <w:szCs w:val="21"/>
        </w:rPr>
        <w:t xml:space="preserve">Three-tier architecture: Next.js 14 / React frontend (applicant portal + officer console) → Node.js / Express API gateway (auth, business rules, persistence) → Python / FastAPI microservice (forensics + ML).</w:t>
      </w:r>
    </w:p>
    <w:p>
      <w:pPr>
        <w:pStyle w:val="ListParagraph"/>
        <w:numPr>
          <w:ilvl w:val="1"/>
          <w:numId w:val="2"/>
        </w:numPr>
        <w:spacing w:after="80" w:line="276"/>
      </w:pPr>
      <w:r>
        <w:rPr>
          <w:sz w:val="21"/>
          <w:szCs w:val="21"/>
        </w:rPr>
        <w:t xml:space="preserve">JWT-based authentication with two roles – Applicant and Loan Officer – enforced via role-based access control at every API route.</w:t>
      </w:r>
    </w:p>
    <w:p>
      <w:pPr>
        <w:pStyle w:val="ListParagraph"/>
        <w:numPr>
          <w:ilvl w:val="1"/>
          <w:numId w:val="2"/>
        </w:numPr>
        <w:spacing w:after="80" w:line="276"/>
      </w:pPr>
      <w:r>
        <w:rPr>
          <w:sz w:val="21"/>
          <w:szCs w:val="21"/>
        </w:rPr>
        <w:t xml:space="preserve">SQLite persistence with five tables: users, applications, documents, ledger_line_items, audit_logs.</w:t>
      </w:r>
    </w:p>
    <w:p>
      <w:pPr>
        <w:pStyle w:val="ListParagraph"/>
        <w:numPr>
          <w:ilvl w:val="1"/>
          <w:numId w:val="2"/>
        </w:numPr>
        <w:spacing w:after="80" w:line="276"/>
      </w:pPr>
      <w:r>
        <w:rPr>
          <w:sz w:val="21"/>
          <w:szCs w:val="21"/>
        </w:rPr>
        <w:t xml:space="preserve">Tri/four-state decision routing – AUTO_APPROVE, MANUAL_REVIEW, REJECT, REJECT_FRAUD_ALERT – combining deterministic forensic checks with the ML credit-risk score, with a human loan officer as the mandatory final approver (even an AUTO_APPROVE recommendation requires an explicit “Confirm &amp; Approve” action, it is never auto-finalized).</w:t>
      </w:r>
    </w:p>
    <w:p>
      <w:pPr>
        <w:pStyle w:val="ListParagraph"/>
        <w:numPr>
          <w:ilvl w:val="1"/>
          <w:numId w:val="2"/>
        </w:numPr>
        <w:spacing w:after="80" w:line="276"/>
      </w:pPr>
      <w:r>
        <w:rPr>
          <w:sz w:val="21"/>
          <w:szCs w:val="21"/>
        </w:rPr>
        <w:t xml:space="preserve">Master-detail sidebar layout (Next.js route groups) so both roles can move through applications without returning to a separate list page.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Data Set</w:t>
      </w:r>
    </w:p>
    <w:p>
      <w:pPr>
        <w:pStyle w:val="ListParagraph"/>
        <w:numPr>
          <w:ilvl w:val="1"/>
          <w:numId w:val="2"/>
        </w:numPr>
        <w:spacing w:after="80" w:line="276"/>
      </w:pPr>
      <w:r>
        <w:rPr>
          <w:sz w:val="21"/>
          <w:szCs w:val="21"/>
        </w:rPr>
        <w:t xml:space="preserve">Credit-risk model trained on the public “Give Me Some Credit” Kaggle dataset (~150,000 borrower records) – features used: age, MonthlyIncome, DebtRatio, RevolvingUtilization, NumberOfDependents and related delinquency counts.</w:t>
      </w:r>
    </w:p>
    <w:p>
      <w:pPr>
        <w:pStyle w:val="ListParagraph"/>
        <w:numPr>
          <w:ilvl w:val="1"/>
          <w:numId w:val="2"/>
        </w:numPr>
        <w:spacing w:after="80" w:line="276"/>
      </w:pPr>
      <w:r>
        <w:rPr>
          <w:sz w:val="21"/>
          <w:szCs w:val="21"/>
        </w:rPr>
        <w:t xml:space="preserve">XGBoost classifier trained on this data; achieves AUC-ROC ≈ 0.87 on the held-out test split.</w:t>
      </w:r>
    </w:p>
    <w:p>
      <w:pPr>
        <w:pStyle w:val="ListParagraph"/>
        <w:numPr>
          <w:ilvl w:val="1"/>
          <w:numId w:val="2"/>
        </w:numPr>
        <w:spacing w:after="80" w:line="276"/>
      </w:pPr>
      <w:r>
        <w:rPr>
          <w:sz w:val="21"/>
          <w:szCs w:val="21"/>
        </w:rPr>
        <w:t xml:space="preserve">Three synthetic sample bank-statement PDFs generated (sample_clean.pdf, sample_tampered.pdf, sample_photoshopped.pdf) to exercise and validate the forensics pipeline end-to-end, plus a password-encrypted variant to test the password-protected-PDF upload path.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Modules Completed with Screenshot</w:t>
      </w:r>
    </w:p>
    <w:p>
      <w:pPr>
        <w:pStyle w:val="ListParagraph"/>
        <w:numPr>
          <w:ilvl w:val="1"/>
          <w:numId w:val="2"/>
        </w:numPr>
        <w:spacing w:after="80" w:line="276"/>
      </w:pPr>
      <w:r>
        <w:rPr>
          <w:sz w:val="21"/>
          <w:szCs w:val="21"/>
        </w:rPr>
        <w:t xml:space="preserve">Module 1 – Authentication &amp; Role-Based Access Control  [Insert screenshot – login / register screen]</w:t>
      </w:r>
    </w:p>
    <w:p>
      <w:pPr>
        <w:pStyle w:val="ListParagraph"/>
        <w:numPr>
          <w:ilvl w:val="1"/>
          <w:numId w:val="2"/>
        </w:numPr>
        <w:spacing w:after="80" w:line="276"/>
      </w:pPr>
      <w:r>
        <w:rPr>
          <w:sz w:val="21"/>
          <w:szCs w:val="21"/>
        </w:rPr>
        <w:t xml:space="preserve">Module 2 – Application &amp; Document Intake (combined apply + upload form, magic-byte file validation, password-protected PDF retry flow)  [Insert screenshot – New Application form]</w:t>
      </w:r>
    </w:p>
    <w:p>
      <w:pPr>
        <w:pStyle w:val="ListParagraph"/>
        <w:numPr>
          <w:ilvl w:val="1"/>
          <w:numId w:val="2"/>
        </w:numPr>
        <w:spacing w:after="80" w:line="276"/>
      </w:pPr>
      <w:r>
        <w:rPr>
          <w:sz w:val="21"/>
          <w:szCs w:val="21"/>
        </w:rPr>
        <w:t xml:space="preserve">Module 3 – Structural / Metadata Forensics (PyMuPDF – Producer/Creator tag and font-consistency inspection)  [Insert screenshot – officer forensics panel]</w:t>
      </w:r>
    </w:p>
    <w:p>
      <w:pPr>
        <w:pStyle w:val="ListParagraph"/>
        <w:numPr>
          <w:ilvl w:val="1"/>
          <w:numId w:val="2"/>
        </w:numPr>
        <w:spacing w:after="80" w:line="276"/>
      </w:pPr>
      <w:r>
        <w:rPr>
          <w:sz w:val="21"/>
          <w:szCs w:val="21"/>
        </w:rPr>
        <w:t xml:space="preserve">Module 4 – Error Level Analysis (ELA tamper heatmap, shown to the officer as a diagnostic aid)  [Insert screenshot – ELA heatmap view]</w:t>
      </w:r>
    </w:p>
    <w:p>
      <w:pPr>
        <w:pStyle w:val="ListParagraph"/>
        <w:numPr>
          <w:ilvl w:val="1"/>
          <w:numId w:val="2"/>
        </w:numPr>
        <w:spacing w:after="80" w:line="276"/>
      </w:pPr>
      <w:r>
        <w:rPr>
          <w:sz w:val="21"/>
          <w:szCs w:val="21"/>
        </w:rPr>
        <w:t xml:space="preserve">Module 5 – Ledger Extraction &amp; Reconciliation (pdfplumber / OpenCV-grid + Tesseract OCR fallback, exact-decimal running-balance check)  [Insert screenshot – ledger table view]</w:t>
      </w:r>
    </w:p>
    <w:p>
      <w:pPr>
        <w:pStyle w:val="ListParagraph"/>
        <w:numPr>
          <w:ilvl w:val="1"/>
          <w:numId w:val="2"/>
        </w:numPr>
        <w:spacing w:after="80" w:line="276"/>
      </w:pPr>
      <w:r>
        <w:rPr>
          <w:sz w:val="21"/>
          <w:szCs w:val="21"/>
        </w:rPr>
        <w:t xml:space="preserve">Module 6 – Credit Risk Scoring (XGBoost score + DTI/AMB calculation)  [Insert screenshot – risk score panel]</w:t>
      </w:r>
    </w:p>
    <w:p>
      <w:pPr>
        <w:pStyle w:val="ListParagraph"/>
        <w:numPr>
          <w:ilvl w:val="1"/>
          <w:numId w:val="2"/>
        </w:numPr>
        <w:spacing w:after="80" w:line="276"/>
      </w:pPr>
      <w:r>
        <w:rPr>
          <w:sz w:val="21"/>
          <w:szCs w:val="21"/>
        </w:rPr>
        <w:t xml:space="preserve">Module 7 – Decision Routing Engine (certainty-tiered AUTO_APPROVE / MANUAL_REVIEW / REJECT / REJECT_FRAUD_ALERT)  [Insert screenshot – decision panel]</w:t>
      </w:r>
    </w:p>
    <w:p>
      <w:pPr>
        <w:pStyle w:val="ListParagraph"/>
        <w:numPr>
          <w:ilvl w:val="1"/>
          <w:numId w:val="2"/>
        </w:numPr>
        <w:spacing w:after="80" w:line="276"/>
      </w:pPr>
      <w:r>
        <w:rPr>
          <w:sz w:val="21"/>
          <w:szCs w:val="21"/>
        </w:rPr>
        <w:t xml:space="preserve">Module 8 – Officer Review &amp; Human-in-the-Loop Confirmation (“Confirm &amp; Approve” action)  [Insert screenshot – officer queue / confirm action]</w:t>
      </w:r>
    </w:p>
    <w:p>
      <w:pPr>
        <w:pStyle w:val="ListParagraph"/>
        <w:numPr>
          <w:ilvl w:val="1"/>
          <w:numId w:val="2"/>
        </w:numPr>
        <w:spacing w:after="80" w:line="276"/>
      </w:pPr>
      <w:r>
        <w:rPr>
          <w:sz w:val="21"/>
          <w:szCs w:val="21"/>
        </w:rPr>
        <w:t xml:space="preserve">Module 9 – Audit Logging (WORM-style append-only log with SHA-256 evidence hashes)  [Insert screenshot – audit trail]</w:t>
      </w:r>
    </w:p>
    <w:p>
      <w:pPr>
        <w:spacing w:after="160"/>
        <w:ind w:left="431"/>
      </w:pPr>
      <w:r>
        <w:rPr>
          <w:i/>
          <w:iCs/>
          <w:color w:val="5B6B8C"/>
          <w:sz w:val="19"/>
          <w:szCs w:val="19"/>
        </w:rPr>
        <w:t xml:space="preserve">Note: screenshots above are to be captured from the running application (frontend at localhost:3000) and pasted in place of each bracketed placeholder before submission.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Pseudo code for incomplete modules</w:t>
      </w:r>
    </w:p>
    <w:p>
      <w:pPr>
        <w:spacing w:after="160" w:line="276"/>
      </w:pPr>
      <w:r>
        <w:rPr>
          <w:sz w:val="22"/>
          <w:szCs w:val="22"/>
        </w:rPr>
        <w:t xml:space="preserve">All nine modules planned for this review stage are functionally complete and have been tested end-to-end (see Test Cases below); no module is pending, so no pseudocode is included for this review. Possible future-scope extensions beyond the current prototype – e.g. multi-bank statement format support, horizontal scaling with a message queue, and MySQL migration – are listed under Deviations below as explicitly out of scope for this stage rather than incomplete work.</w:t>
      </w:r>
    </w:p>
    <w:p>
      <w:pPr>
        <w:spacing w:after="120" w:before="260"/>
      </w:pPr>
      <w:r>
        <w:rPr>
          <w:b/>
          <w:bCs/>
          <w:color w:val="1E2761"/>
          <w:sz w:val="24"/>
          <w:szCs w:val="24"/>
        </w:rPr>
        <w:t xml:space="preserve">Test Cases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700"/>
        <w:gridCol w:w="2700"/>
      </w:tblGrid>
      <w:tr>
        <w:tc>
          <w:tcPr>
            <w:tcW w:type="dxa" w:w="26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CADC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Input document</w:t>
            </w:r>
          </w:p>
        </w:tc>
        <w:tc>
          <w:tcPr>
            <w:tcW w:type="dxa" w:w="37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CADC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What it exercises</w:t>
            </w:r>
          </w:p>
        </w:tc>
        <w:tc>
          <w:tcPr>
            <w:tcW w:type="dxa" w:w="27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CADC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Expected outcome</w:t>
            </w:r>
          </w:p>
        </w:tc>
      </w:tr>
      <w:tr>
        <w:tc>
          <w:tcPr>
            <w:tcW w:type="dxa" w:w="26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sample_clean.pdf</w:t>
            </w:r>
          </w:p>
        </w:tc>
        <w:tc>
          <w:tcPr>
            <w:tcW w:type="dxa" w:w="37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Internally consistent ledger, no editing-tool fingerprint</w:t>
            </w:r>
          </w:p>
        </w:tc>
        <w:tc>
          <w:tcPr>
            <w:tcW w:type="dxa" w:w="27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AUTO_APPROVE (recommendation)</w:t>
            </w:r>
          </w:p>
        </w:tc>
      </w:tr>
      <w:tr>
        <w:tc>
          <w:tcPr>
            <w:tcW w:type="dxa" w:w="26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sample_tampered.pdf</w:t>
            </w:r>
          </w:p>
        </w:tc>
        <w:tc>
          <w:tcPr>
            <w:tcW w:type="dxa" w:w="37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One balance cell altered – breaks running-balance reconciliation</w:t>
            </w:r>
          </w:p>
        </w:tc>
        <w:tc>
          <w:tcPr>
            <w:tcW w:type="dxa" w:w="27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MANUAL_REVIEW (caught by deterministic ledger math)</w:t>
            </w:r>
          </w:p>
        </w:tc>
      </w:tr>
      <w:tr>
        <w:tc>
          <w:tcPr>
            <w:tcW w:type="dxa" w:w="26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sample_photoshopped.pdf</w:t>
            </w:r>
          </w:p>
        </w:tc>
        <w:tc>
          <w:tcPr>
            <w:tcW w:type="dxa" w:w="37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Numbers consistent, but /Producer metadata says Adobe Photoshop</w:t>
            </w:r>
          </w:p>
        </w:tc>
        <w:tc>
          <w:tcPr>
            <w:tcW w:type="dxa" w:w="27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REJECT_FRAUD_ALERT (caught by structural PDF inspection)</w:t>
            </w:r>
          </w:p>
        </w:tc>
      </w:tr>
      <w:tr>
        <w:tc>
          <w:tcPr>
            <w:tcW w:type="dxa" w:w="26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Password-encrypted PDF</w:t>
            </w:r>
          </w:p>
        </w:tc>
        <w:tc>
          <w:tcPr>
            <w:tcW w:type="dxa" w:w="37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Upload without / with wrong password, then with correct password</w:t>
            </w:r>
          </w:p>
        </w:tc>
        <w:tc>
          <w:tcPr>
            <w:tcW w:type="dxa" w:w="27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Inline password prompt on first failure; succeeds once correct password supplied; password never persisted</w:t>
            </w:r>
          </w:p>
        </w:tc>
      </w:tr>
      <w:tr>
        <w:tc>
          <w:tcPr>
            <w:tcW w:type="dxa" w:w="26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Scanned (image-only) statement</w:t>
            </w:r>
          </w:p>
        </w:tc>
        <w:tc>
          <w:tcPr>
            <w:tcW w:type="dxa" w:w="37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OCR fallback path – OpenCV grid detection + Tesseract</w:t>
            </w:r>
          </w:p>
        </w:tc>
        <w:tc>
          <w:tcPr>
            <w:tcW w:type="dxa" w:w="27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Ledger rows extracted via OCR; isMathConsistent=null / extractionFailed=true routes to MANUAL_REVIEW if no rows found, instead of silently passing</w:t>
            </w:r>
          </w:p>
        </w:tc>
      </w:tr>
    </w:tbl>
    <w:p>
      <w:pPr>
        <w:spacing w:after="160" w:before="160"/>
      </w:pPr>
      <w:r>
        <w:rPr>
          <w:sz w:val="20"/>
          <w:szCs w:val="20"/>
        </w:rPr>
        <w:t xml:space="preserve">Additional verification performed: Playwright browser smoke tests for both the applicant flow (register → apply → upload → view results) and the officer flow (login → browse queue → open detail → confirm decision), run against the live application.</w:t>
      </w:r>
    </w:p>
    <w:p>
      <w:pPr>
        <w:spacing w:after="120" w:before="260"/>
      </w:pPr>
      <w:r>
        <w:rPr>
          <w:b/>
          <w:bCs/>
          <w:color w:val="1E2761"/>
          <w:sz w:val="24"/>
          <w:szCs w:val="24"/>
        </w:rPr>
        <w:t xml:space="preserve">Deviation if any and justification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SQLite is used in place of MySQL – justified by the single-user, local-prototype scope of this review stage; no concurrent-write or multi-tenant requirement exists yet to warrant a server-based RDBMS.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The credit-risk model is trained on the public “Give Me Some Credit” Kaggle dataset rather than real underwriting outcome data – no access to proprietary bank data exists at the prototype stage; this demonstrates the ML risk-scoring layer end-to-end, but its scores are illustrative, not production-calibrated.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Ledger OCR/table extraction is tuned to the three generated sample documents and a generic pdfplumber/OpenCV-grid pipeline, not to arbitrary real-world bank statement layouts – most real statements do not draw a full visible grid, so extraction can fail on them; the system is designed to fail safely in that case (MANUAL_REVIEW, not a false “consistent” result) rather than to handle every bank's format.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No separate message queue / asynchronous job processing – the gateway calls the Python forensics service synchronously, acceptable at current single-user load; would need revisiting for multi-user production scale.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Error Level Analysis (ELA) is deliberately kept as a diagnostic/visual aid shown to the officer rather than an automatic fraud gate, since it produces false positives on clean, sharply-scanned documents – only the two fully deterministic signals (PDF metadata/font fingerprinting and ledger-math reconciliation) are allowed to drive automatic routing.</w:t>
      </w:r>
    </w:p>
    <w:p>
      <w:pPr>
        <w:spacing w:after="100" w:before="600"/>
      </w:pPr>
      <w:r>
        <w:rPr>
          <w:b/>
          <w:bCs/>
          <w:sz w:val="22"/>
          <w:szCs w:val="22"/>
        </w:rPr>
        <w:t xml:space="preserve">(SIGNATURE OF THE STUDENT)				</w:t>
      </w:r>
      <w:r>
        <w:rPr>
          <w:b/>
          <w:bCs/>
          <w:sz w:val="22"/>
          <w:szCs w:val="22"/>
        </w:rPr>
        <w:t xml:space="preserve">(SIGNATURE OF THE GUIDE)</w:t>
      </w:r>
    </w:p>
    <w:sectPr>
      <w:pgSz w:w="12240" w:h="15840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20" w:hanging="260"/>
      </w:pPr>
    </w:lvl>
    <w:lvl w:ilvl="1" w15:tentative="1">
      <w:start w:val="1"/>
      <w:numFmt w:val="bullet"/>
      <w:lvlText w:val="–"/>
      <w:lvlJc w:val="left"/>
      <w:pPr>
        <w:ind w:left="8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f1c7f3983cbf6b4a74f520a94e8903eb51ccb7e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2026-10-18T14:11:45.705Z</dcterms:created>
  <dcterms:modified xsi:type="dcterms:W3CDTF">2026-10-18T14:11:45.711Z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