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RAG Systems Architecture Guide</w:t>
      </w:r>
    </w:p>
    <w:p>
      <w:pPr>
        <w:pStyle w:val="Heading1"/>
      </w:pPr>
      <w:r>
        <w:t>1. Ingestion Pipeline and Data Preprocessing</w:t>
      </w:r>
    </w:p>
    <w:p>
      <w:r>
        <w:t>Retrieval-Augmented Generation (RAG) is an architectural pattern that enhances Large Language Models by retrieving context from external datasets before generating answers. The pipeline begins with ingestion. Source documents (such as PDFs, DOCX files, and spreadsheets) are extracted and converted into clean, normalized text. This pre-processing step involves removing formatting noise, page headers, footers, page numbers, and system logs. Ensuring clean text is vital: if a chunk contains fragmented footer text, it can pollute the vector representations and degrade semantic retrieval quality.</w:t>
      </w:r>
    </w:p>
    <w:p>
      <w:pPr>
        <w:pStyle w:val="Heading1"/>
      </w:pPr>
      <w:r>
        <w:t>2. Text Chunking Strategies</w:t>
      </w:r>
    </w:p>
    <w:p>
      <w:r>
        <w:t>Once the clean text is extracted, it must be split into smaller, manageable units called chunks. Large text blocks cannot be sent to embedding models or LLMs due to context window constraints. The choice of chunking strategy directly influences RAG performance:</w:t>
      </w:r>
    </w:p>
    <w:p>
      <w:r>
        <w:t>- Fixed-size Chunking: Splits text into a set number of characters or tokens (e.g., 500 characters) regardless of semantic structure. It is simple but often cuts off sentences mid-thought.</w:t>
      </w:r>
    </w:p>
    <w:p>
      <w:r>
        <w:t>- Paragraph-based/Semantic Chunking: Respects paragraph double-newlines or sentence boundaries. Chunks are split dynamically to keep complete ideas intact.</w:t>
      </w:r>
    </w:p>
    <w:p>
      <w:r>
        <w:t>- Overlap Configuration: To prevent losing context at the boundaries where chunks are split, an overlap (typically 10% to 20% of the chunk size) is configured. This ensures that adjacent chunks share a short sequence of sentences.</w:t>
      </w:r>
    </w:p>
    <w:p>
      <w:pPr>
        <w:pStyle w:val="Heading1"/>
      </w:pPr>
      <w:r>
        <w:t>3. Embedding Generation and Vector Indexing</w:t>
      </w:r>
    </w:p>
    <w:p>
      <w:r>
        <w:t>Each chunk is then converted into a dense numerical vector (embedding) using a specialized model (such as all-MiniLM-L6-v2 or text-embedding-3-small). These embeddings represent the semantic meaning of the text. Chunks are uploaded to a Vector Database (e.g., Qdrant, ChromaDB, or FAISS) along with their metadata. The database creates an index (using algorithms like HNSW - Hierarchical Navigable Small World) to enable rapid similarity search during querying.</w:t>
      </w:r>
    </w:p>
    <w:p>
      <w:pPr>
        <w:pStyle w:val="Heading1"/>
      </w:pPr>
      <w:r>
        <w:t>4. Query Processing, Retrieval, and LLM Synthesis</w:t>
      </w:r>
    </w:p>
    <w:p>
      <w:r>
        <w:t>When a user asks a question, the query is embedded using the same embedding model. The vector database performs a cosine similarity search, comparing the query vector to the stored chunk vectors. The database retrieves the top-k most similar chunks. These chunks are stuffed into a prompt template alongside the user's question, creating a context-rich prompt. The LLM reads this context and synthesizes a grounded answer, citing the source files and page numbers stored in the retrieved chunks' metadata. Grounded generation prevents hallucinations and ensures factual accuracy.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