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Issue Desk</w:t>
      </w:r>
    </w:p>
    <w:p>
      <w:pPr>
        <w:pStyle w:val="Subtitle"/>
      </w:pPr>
      <w:r>
        <w:t>Video recording guide</w:t>
      </w:r>
    </w:p>
    <w:p>
      <w:r>
        <w:t>Use this guide to record a four minute and forty second walkthrough. Keep the architecture diagram on screen for most of the explanation and spend fifty seconds on the live app. The course video must stay under five minutes.</w:t>
      </w:r>
    </w:p>
    <w:p>
      <w:r>
        <w:rPr>
          <w:b/>
        </w:rPr>
        <w:t>Target duration</w:t>
      </w:r>
      <w:r>
        <w:t xml:space="preserve"> 4:40   |   Live app 0:50   |   Design and discussion 3:50</w:t>
      </w:r>
    </w:p>
    <w:p>
      <w:pPr>
        <w:pStyle w:val="Heading1"/>
      </w:pPr>
      <w:r>
        <w:t>Prepare the recording screens</w:t>
      </w:r>
    </w:p>
    <w:p>
      <w:r>
        <w:t>1. Open docs/architecture.png in Preview and fit it to the window. Use the SVG copy when you want to zoom.</w:t>
      </w:r>
    </w:p>
    <w:p>
      <w:r>
        <w:t>2. Open triage_desk/workflow.py at the StateGraph construction and triage_desk/generation.py at synthesize. Enlarge the code text.</w:t>
      </w:r>
    </w:p>
    <w:p>
      <w:r>
        <w:t>3. Open the app at http://localhost:8502 and the recorded report at evaluation/workflow-results/report.html or in the app Evaluation tab.</w:t>
      </w:r>
    </w:p>
    <w:p>
      <w:r>
        <w:t>Close .env, unrelated windows, and notifications. Run the demo question once beforehand so downloads and indexing finish. During recording, submit it again live. Rehearse the narration once with a timer.</w:t>
      </w:r>
    </w:p>
    <w:p>
      <w:pPr>
        <w:pStyle w:val="Heading1"/>
      </w:pPr>
      <w:r>
        <w:t>Recording 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469"/>
        <w:gridCol w:w="2923"/>
        <w:gridCol w:w="5832"/>
      </w:tblGrid>
      <w:tr>
        <w:trPr>
          <w:tblHeader/>
          <w:cantSplit/>
        </w:trPr>
        <w:tc>
          <w:tcPr>
            <w:tcW w:type="dxa" w:w="1469"/>
            <w:vAlign w:val="center"/>
            <w:shd w:fill="E7EDF3"/>
          </w:tcPr>
          <w:p>
            <w:pPr>
              <w:spacing w:after="0" w:line="250" w:lineRule="auto"/>
              <w:jc w:val="center"/>
            </w:pPr>
            <w:r>
              <w:rPr>
                <w:b/>
                <w:color w:val="000000"/>
                <w:sz w:val="20"/>
              </w:rPr>
              <w:t>Time</w:t>
            </w:r>
          </w:p>
        </w:tc>
        <w:tc>
          <w:tcPr>
            <w:tcW w:type="dxa" w:w="2923"/>
            <w:vAlign w:val="center"/>
            <w:shd w:fill="E7EDF3"/>
          </w:tcPr>
          <w:p>
            <w:pPr>
              <w:spacing w:after="0" w:line="250" w:lineRule="auto"/>
            </w:pPr>
            <w:r>
              <w:rPr>
                <w:b/>
                <w:color w:val="000000"/>
                <w:sz w:val="20"/>
              </w:rPr>
              <w:t>Show</w:t>
            </w:r>
          </w:p>
        </w:tc>
        <w:tc>
          <w:tcPr>
            <w:tcW w:type="dxa" w:w="5832"/>
            <w:vAlign w:val="center"/>
            <w:shd w:fill="E7EDF3"/>
          </w:tcPr>
          <w:p>
            <w:pPr>
              <w:spacing w:after="0" w:line="250" w:lineRule="auto"/>
            </w:pPr>
            <w:r>
              <w:rPr>
                <w:b/>
                <w:color w:val="000000"/>
                <w:sz w:val="20"/>
              </w:rPr>
              <w:t>Explain</w:t>
            </w:r>
          </w:p>
        </w:tc>
      </w:tr>
      <w:tr>
        <w:trPr>
          <w:cantSplit/>
        </w:trPr>
        <w:tc>
          <w:tcPr>
            <w:tcW w:type="dxa" w:w="1469"/>
            <w:vAlign w:val="center"/>
          </w:tcPr>
          <w:p>
            <w:pPr>
              <w:spacing w:after="0" w:line="250" w:lineRule="auto"/>
              <w:jc w:val="center"/>
            </w:pPr>
            <w:r>
              <w:rPr>
                <w:b w:val="0"/>
                <w:color w:val="000000"/>
                <w:sz w:val="20"/>
              </w:rPr>
              <w:t>0:00-0:30</w:t>
            </w:r>
          </w:p>
        </w:tc>
        <w:tc>
          <w:tcPr>
            <w:tcW w:type="dxa" w:w="2923"/>
            <w:vAlign w:val="center"/>
          </w:tcPr>
          <w:p>
            <w:pPr>
              <w:spacing w:after="0" w:line="250" w:lineRule="auto"/>
            </w:pPr>
            <w:r>
              <w:rPr>
                <w:b w:val="0"/>
                <w:color w:val="000000"/>
                <w:sz w:val="20"/>
              </w:rPr>
              <w:t>Diagram title</w:t>
            </w:r>
          </w:p>
        </w:tc>
        <w:tc>
          <w:tcPr>
            <w:tcW w:type="dxa" w:w="5832"/>
            <w:vAlign w:val="center"/>
          </w:tcPr>
          <w:p>
            <w:pPr>
              <w:spacing w:after="0" w:line="250" w:lineRule="auto"/>
            </w:pPr>
            <w:r>
              <w:rPr>
                <w:b w:val="0"/>
                <w:color w:val="000000"/>
                <w:sz w:val="20"/>
              </w:rPr>
              <w:t>Assignment, user problem, and project goal</w:t>
            </w:r>
          </w:p>
        </w:tc>
      </w:tr>
      <w:tr>
        <w:trPr>
          <w:cantSplit/>
        </w:trPr>
        <w:tc>
          <w:tcPr>
            <w:tcW w:type="dxa" w:w="1469"/>
            <w:vAlign w:val="center"/>
          </w:tcPr>
          <w:p>
            <w:pPr>
              <w:spacing w:after="0" w:line="250" w:lineRule="auto"/>
              <w:jc w:val="center"/>
            </w:pPr>
            <w:r>
              <w:rPr>
                <w:b w:val="0"/>
                <w:color w:val="000000"/>
                <w:sz w:val="20"/>
              </w:rPr>
              <w:t>0:30-1:20</w:t>
            </w:r>
          </w:p>
        </w:tc>
        <w:tc>
          <w:tcPr>
            <w:tcW w:type="dxa" w:w="2923"/>
            <w:vAlign w:val="center"/>
          </w:tcPr>
          <w:p>
            <w:pPr>
              <w:spacing w:after="0" w:line="250" w:lineRule="auto"/>
            </w:pPr>
            <w:r>
              <w:rPr>
                <w:b w:val="0"/>
                <w:color w:val="000000"/>
                <w:sz w:val="20"/>
              </w:rPr>
              <w:t>Diagram top</w:t>
            </w:r>
          </w:p>
        </w:tc>
        <w:tc>
          <w:tcPr>
            <w:tcW w:type="dxa" w:w="5832"/>
            <w:vAlign w:val="center"/>
          </w:tcPr>
          <w:p>
            <w:pPr>
              <w:spacing w:after="0" w:line="250" w:lineRule="auto"/>
            </w:pPr>
            <w:r>
              <w:rPr>
                <w:b w:val="0"/>
                <w:color w:val="000000"/>
                <w:sz w:val="20"/>
              </w:rPr>
              <w:t>Sources, cleaning, chunking, embeddings, and indexes</w:t>
            </w:r>
          </w:p>
        </w:tc>
      </w:tr>
      <w:tr>
        <w:trPr>
          <w:cantSplit/>
        </w:trPr>
        <w:tc>
          <w:tcPr>
            <w:tcW w:type="dxa" w:w="1469"/>
            <w:vAlign w:val="center"/>
          </w:tcPr>
          <w:p>
            <w:pPr>
              <w:spacing w:after="0" w:line="250" w:lineRule="auto"/>
              <w:jc w:val="center"/>
            </w:pPr>
            <w:r>
              <w:rPr>
                <w:b w:val="0"/>
                <w:color w:val="000000"/>
                <w:sz w:val="20"/>
              </w:rPr>
              <w:t>1:20-2:10</w:t>
            </w:r>
          </w:p>
        </w:tc>
        <w:tc>
          <w:tcPr>
            <w:tcW w:type="dxa" w:w="2923"/>
            <w:vAlign w:val="center"/>
          </w:tcPr>
          <w:p>
            <w:pPr>
              <w:spacing w:after="0" w:line="250" w:lineRule="auto"/>
            </w:pPr>
            <w:r>
              <w:rPr>
                <w:b w:val="0"/>
                <w:color w:val="000000"/>
                <w:sz w:val="20"/>
              </w:rPr>
              <w:t>Diagram middle</w:t>
            </w:r>
          </w:p>
        </w:tc>
        <w:tc>
          <w:tcPr>
            <w:tcW w:type="dxa" w:w="5832"/>
            <w:vAlign w:val="center"/>
          </w:tcPr>
          <w:p>
            <w:pPr>
              <w:spacing w:after="0" w:line="250" w:lineRule="auto"/>
            </w:pPr>
            <w:r>
              <w:rPr>
                <w:b w:val="0"/>
                <w:color w:val="000000"/>
                <w:sz w:val="20"/>
              </w:rPr>
              <w:t>LangGraph stages and clarification or fallback branches</w:t>
            </w:r>
          </w:p>
        </w:tc>
      </w:tr>
      <w:tr>
        <w:trPr>
          <w:cantSplit/>
        </w:trPr>
        <w:tc>
          <w:tcPr>
            <w:tcW w:type="dxa" w:w="1469"/>
            <w:vAlign w:val="center"/>
          </w:tcPr>
          <w:p>
            <w:pPr>
              <w:spacing w:after="0" w:line="250" w:lineRule="auto"/>
              <w:jc w:val="center"/>
            </w:pPr>
            <w:r>
              <w:rPr>
                <w:b w:val="0"/>
                <w:color w:val="000000"/>
                <w:sz w:val="20"/>
              </w:rPr>
              <w:t>2:10-2:55</w:t>
            </w:r>
          </w:p>
        </w:tc>
        <w:tc>
          <w:tcPr>
            <w:tcW w:type="dxa" w:w="2923"/>
            <w:vAlign w:val="center"/>
          </w:tcPr>
          <w:p>
            <w:pPr>
              <w:spacing w:after="0" w:line="250" w:lineRule="auto"/>
            </w:pPr>
            <w:r>
              <w:rPr>
                <w:b w:val="0"/>
                <w:color w:val="000000"/>
                <w:sz w:val="20"/>
              </w:rPr>
              <w:t>Diagram bottom and code</w:t>
            </w:r>
          </w:p>
        </w:tc>
        <w:tc>
          <w:tcPr>
            <w:tcW w:type="dxa" w:w="5832"/>
            <w:vAlign w:val="center"/>
          </w:tcPr>
          <w:p>
            <w:pPr>
              <w:spacing w:after="0" w:line="250" w:lineRule="auto"/>
            </w:pPr>
            <w:r>
              <w:rPr>
                <w:b w:val="0"/>
                <w:color w:val="000000"/>
                <w:sz w:val="20"/>
              </w:rPr>
              <w:t>Generation instructions, validation, and support checking</w:t>
            </w:r>
          </w:p>
        </w:tc>
      </w:tr>
      <w:tr>
        <w:trPr>
          <w:cantSplit/>
        </w:trPr>
        <w:tc>
          <w:tcPr>
            <w:tcW w:type="dxa" w:w="1469"/>
            <w:vAlign w:val="center"/>
          </w:tcPr>
          <w:p>
            <w:pPr>
              <w:spacing w:after="0" w:line="250" w:lineRule="auto"/>
              <w:jc w:val="center"/>
            </w:pPr>
            <w:r>
              <w:rPr>
                <w:b w:val="0"/>
                <w:color w:val="000000"/>
                <w:sz w:val="20"/>
              </w:rPr>
              <w:t>2:55-3:45</w:t>
            </w:r>
          </w:p>
        </w:tc>
        <w:tc>
          <w:tcPr>
            <w:tcW w:type="dxa" w:w="2923"/>
            <w:vAlign w:val="center"/>
          </w:tcPr>
          <w:p>
            <w:pPr>
              <w:spacing w:after="0" w:line="250" w:lineRule="auto"/>
            </w:pPr>
            <w:r>
              <w:rPr>
                <w:b w:val="0"/>
                <w:color w:val="000000"/>
                <w:sz w:val="20"/>
              </w:rPr>
              <w:t>Live app</w:t>
            </w:r>
          </w:p>
        </w:tc>
        <w:tc>
          <w:tcPr>
            <w:tcW w:type="dxa" w:w="5832"/>
            <w:vAlign w:val="center"/>
          </w:tcPr>
          <w:p>
            <w:pPr>
              <w:spacing w:after="0" w:line="250" w:lineRule="auto"/>
            </w:pPr>
            <w:r>
              <w:rPr>
                <w:b w:val="0"/>
                <w:color w:val="000000"/>
                <w:sz w:val="20"/>
              </w:rPr>
              <w:t>One question, one supporting citation, and the draft</w:t>
            </w:r>
          </w:p>
        </w:tc>
      </w:tr>
      <w:tr>
        <w:trPr>
          <w:cantSplit/>
        </w:trPr>
        <w:tc>
          <w:tcPr>
            <w:tcW w:type="dxa" w:w="1469"/>
            <w:vAlign w:val="center"/>
          </w:tcPr>
          <w:p>
            <w:pPr>
              <w:spacing w:after="0" w:line="250" w:lineRule="auto"/>
              <w:jc w:val="center"/>
            </w:pPr>
            <w:r>
              <w:rPr>
                <w:b w:val="0"/>
                <w:color w:val="000000"/>
                <w:sz w:val="20"/>
              </w:rPr>
              <w:t>3:45-4:20</w:t>
            </w:r>
          </w:p>
        </w:tc>
        <w:tc>
          <w:tcPr>
            <w:tcW w:type="dxa" w:w="2923"/>
            <w:vAlign w:val="center"/>
          </w:tcPr>
          <w:p>
            <w:pPr>
              <w:spacing w:after="0" w:line="250" w:lineRule="auto"/>
            </w:pPr>
            <w:r>
              <w:rPr>
                <w:b w:val="0"/>
                <w:color w:val="000000"/>
                <w:sz w:val="20"/>
              </w:rPr>
              <w:t>Recorded evaluation</w:t>
            </w:r>
          </w:p>
        </w:tc>
        <w:tc>
          <w:tcPr>
            <w:tcW w:type="dxa" w:w="5832"/>
            <w:vAlign w:val="center"/>
          </w:tcPr>
          <w:p>
            <w:pPr>
              <w:spacing w:after="0" w:line="250" w:lineRule="auto"/>
            </w:pPr>
            <w:r>
              <w:rPr>
                <w:b w:val="0"/>
                <w:color w:val="000000"/>
                <w:sz w:val="20"/>
              </w:rPr>
              <w:t>Results, failures, and design lessons</w:t>
            </w:r>
          </w:p>
        </w:tc>
      </w:tr>
      <w:tr>
        <w:trPr>
          <w:cantSplit/>
        </w:trPr>
        <w:tc>
          <w:tcPr>
            <w:tcW w:type="dxa" w:w="1469"/>
            <w:vAlign w:val="center"/>
          </w:tcPr>
          <w:p>
            <w:pPr>
              <w:spacing w:after="0" w:line="250" w:lineRule="auto"/>
              <w:jc w:val="center"/>
            </w:pPr>
            <w:r>
              <w:rPr>
                <w:b w:val="0"/>
                <w:color w:val="000000"/>
                <w:sz w:val="20"/>
              </w:rPr>
              <w:t>4:20-4:40</w:t>
            </w:r>
          </w:p>
        </w:tc>
        <w:tc>
          <w:tcPr>
            <w:tcW w:type="dxa" w:w="2923"/>
            <w:vAlign w:val="center"/>
          </w:tcPr>
          <w:p>
            <w:pPr>
              <w:spacing w:after="0" w:line="250" w:lineRule="auto"/>
            </w:pPr>
            <w:r>
              <w:rPr>
                <w:b w:val="0"/>
                <w:color w:val="000000"/>
                <w:sz w:val="20"/>
              </w:rPr>
              <w:t>Diagram again</w:t>
            </w:r>
          </w:p>
        </w:tc>
        <w:tc>
          <w:tcPr>
            <w:tcW w:type="dxa" w:w="5832"/>
            <w:vAlign w:val="center"/>
          </w:tcPr>
          <w:p>
            <w:pPr>
              <w:spacing w:after="0" w:line="250" w:lineRule="auto"/>
            </w:pPr>
            <w:r>
              <w:rPr>
                <w:b w:val="0"/>
                <w:color w:val="000000"/>
                <w:sz w:val="20"/>
              </w:rPr>
              <w:t>AI coding tools and future expansion</w:t>
            </w:r>
          </w:p>
        </w:tc>
      </w:tr>
    </w:tbl>
    <w:p>
      <w:pPr>
        <w:pStyle w:val="Heading1"/>
      </w:pPr>
      <w:r>
        <w:t>Demo settings</w:t>
      </w:r>
    </w:p>
    <w:p>
      <w:r>
        <w:t>Use Hybrid search, Structured passages, Guided LangGraph workflow, and Nebius generated answer enabled. Choose the embedding backend before rehearsing and keep it unchanged for the take. Optional reranking and graph augmentation can remain off for this short walkthrough.</w:t>
      </w:r>
    </w:p>
    <w:p>
      <w:r>
        <w:br w:type="page"/>
      </w:r>
    </w:p>
    <w:p>
      <w:pPr>
        <w:pStyle w:val="Heading1"/>
      </w:pPr>
      <w:r>
        <w:t>Design and implementation narration</w:t>
      </w:r>
    </w:p>
    <w:p>
      <w:r>
        <w:rPr>
          <w:sz w:val="20"/>
        </w:rPr>
        <w:t>Read the narration naturally. The time and screen cues are directions for you, not lines to read aloud.</w:t>
      </w:r>
    </w:p>
    <w:p>
      <w:pPr>
        <w:pStyle w:val="Heading2"/>
      </w:pPr>
      <w:r>
        <w:t>Assignment and user problem</w:t>
      </w:r>
    </w:p>
    <w:p>
      <w:pPr>
        <w:keepNext/>
      </w:pPr>
      <w:r>
        <w:rPr>
          <w:sz w:val="20"/>
        </w:rPr>
        <w:t>0:00 to 0:30  |  Show the diagram title.</w:t>
      </w:r>
    </w:p>
    <w:p>
      <w:r>
        <w:t>The Week 2 assignment focuses on building a document-grounded RAG application and evaluating its behavior. I chose engineering issue investigation. Engineering Issue Desk helps Streamlit developers find relevant documentation and public issue reports, understand the available evidence, and prepare a useful issue draft.</w:t>
      </w:r>
    </w:p>
    <w:p>
      <w:pPr>
        <w:pStyle w:val="Heading2"/>
      </w:pPr>
      <w:r>
        <w:t>Knowledge preparation</w:t>
      </w:r>
    </w:p>
    <w:p>
      <w:pPr>
        <w:keepNext/>
      </w:pPr>
      <w:r>
        <w:rPr>
          <w:sz w:val="20"/>
        </w:rPr>
        <w:t>0:30 to 1:20  |  Point across the top section of the diagram.</w:t>
      </w:r>
    </w:p>
    <w:p>
      <w:r>
        <w:t>I started with one framework and 65 real source records so the scope would be manageable and testable. We retain source links, dates, and version information. A public issue is an observation, not a confirmed fix. We compare fixed windows with structured passages that preserve headings, code, and tables. Keyword search handles exact API names and errors, while embeddings help match related meaning. We combine their rankings using reciprocal rank fusion. A local vector index suits this small corpus; a managed database would be a later scaling decision. The diagram also shows the separate optional graph built from source facts.</w:t>
      </w:r>
    </w:p>
    <w:p>
      <w:pPr>
        <w:pStyle w:val="Heading2"/>
      </w:pPr>
      <w:r>
        <w:t>Investigation workflow</w:t>
      </w:r>
    </w:p>
    <w:p>
      <w:pPr>
        <w:keepNext/>
      </w:pPr>
      <w:r>
        <w:rPr>
          <w:sz w:val="20"/>
        </w:rPr>
        <w:t>1:20 to 2:10  |  Point across Prepare Retrieve Grade Analyze Handoff and Finish.</w:t>
      </w:r>
    </w:p>
    <w:p>
      <w:r>
        <w:t>LangGraph makes the investigation stages explicit. We first check whether the question needs local diagnostics, retrieve candidates, and assess the evidence. The workflow can proceed to analysis or request clarification. Public documentation cannot establish the root cause of somebody's private application. The handoff prepares a draft for review; it does not post an issue. With generation disabled, evidence grading is explicitly unscored.</w:t>
      </w:r>
    </w:p>
    <w:p>
      <w:pPr>
        <w:pStyle w:val="Heading2"/>
      </w:pPr>
      <w:r>
        <w:t>Implementation and answer checks</w:t>
      </w:r>
    </w:p>
    <w:p>
      <w:pPr>
        <w:keepNext/>
      </w:pPr>
      <w:r>
        <w:rPr>
          <w:sz w:val="20"/>
        </w:rPr>
        <w:t>2:10 to 2:55  |  Show the bottom section, then briefly the two code snippets.</w:t>
      </w:r>
    </w:p>
    <w:p>
      <w:r>
        <w:t>The implementation separates retrieval, orchestration, generation, and evaluation. LangChain documents carry the retrieved text together with its source metadata. Generation produces structured claims linked to predefined source quotes. Application code validates those references and output structure. A separate Nebius model checks claim support. Partial answers and failed checks remain visible, with a reviewable handoff. We also tested optional reranking. It did not consistently improve retrieval, so it remains a choice rather than a default.</w:t>
      </w:r>
    </w:p>
    <w:p>
      <w:r>
        <w:br w:type="page"/>
      </w:r>
    </w:p>
    <w:p>
      <w:pPr>
        <w:pStyle w:val="Heading1"/>
      </w:pPr>
      <w:r>
        <w:t>Live demonstration and closing</w:t>
      </w:r>
    </w:p>
    <w:p>
      <w:pPr>
        <w:pStyle w:val="Heading2"/>
      </w:pPr>
      <w:r>
        <w:t>Live application</w:t>
      </w:r>
    </w:p>
    <w:p>
      <w:pPr>
        <w:keepNext/>
      </w:pPr>
      <w:r>
        <w:rPr>
          <w:sz w:val="20"/>
        </w:rPr>
        <w:t>2:55 to 3:45  |  Submit one question, inspect one citation, then show the draft.</w:t>
      </w:r>
    </w:p>
    <w:p>
      <w:r>
        <w:t>I will submit one question live. The app retrieves source passages, grades the evidence, and checks any generated claims. Here I can inspect the supporting passage and its original source, then review the issue draft. If the result is partial or falls back to evidence, that status stays visible.</w:t>
      </w:r>
    </w:p>
    <w:p>
      <w:r>
        <w:rPr>
          <w:b/>
        </w:rPr>
        <w:t>Demo question</w:t>
      </w:r>
      <w:r/>
    </w:p>
    <w:p>
      <w:r>
        <w:t>Community Cloud says my app exceeded resource limits. What can reduce memory pressure, and is rebooting a permanent fix?</w:t>
      </w:r>
    </w:p>
    <w:p>
      <w:r>
        <w:rPr>
          <w:sz w:val="20"/>
        </w:rPr>
        <w:t>Click Investigate report again during recording. While it runs, explain the workflow. Show the actual answer or fallback, open one supporting source, then show the draft or trace. Keep this to one question; describe any partial answer honestly.</w:t>
      </w:r>
    </w:p>
    <w:p>
      <w:pPr>
        <w:pStyle w:val="Heading2"/>
      </w:pPr>
      <w:r>
        <w:t>Evaluation and learning</w:t>
      </w:r>
    </w:p>
    <w:p>
      <w:pPr>
        <w:keepNext/>
      </w:pPr>
      <w:r>
        <w:rPr>
          <w:sz w:val="20"/>
        </w:rPr>
        <w:t>3:45 to 4:20  |  Show the recorded workflow evaluation report.</w:t>
      </w:r>
    </w:p>
    <w:p>
      <w:r>
        <w:t>The project passes 200 automated tests. In the recorded workflow regression, 10 of 14 answerable cases produced generated answers. Separate AI review judged 19 of 22 retained claims fully supported; human review remains pending. Backend p95 was about 24 seconds, above the 20-second target. These results show that valid citations and passing tests do not establish complete or correct answers.</w:t>
      </w:r>
    </w:p>
    <w:p>
      <w:pPr>
        <w:pStyle w:val="Heading2"/>
      </w:pPr>
      <w:r>
        <w:t>AI coding tools and future expansion</w:t>
      </w:r>
    </w:p>
    <w:p>
      <w:pPr>
        <w:keepNext/>
      </w:pPr>
      <w:r>
        <w:rPr>
          <w:sz w:val="20"/>
        </w:rPr>
        <w:t>4:20 to 4:40  |  Return to the architecture diagram.</w:t>
      </w:r>
    </w:p>
    <w:p>
      <w:r>
        <w:t>I used Codex to help scope the project, implement modules, write tests, and review results. This modular foundation can grow into repository tools, stronger evaluation, and controlled engineering workflows in later weeks.</w:t>
      </w:r>
    </w:p>
    <w:p>
      <w:pPr>
        <w:pStyle w:val="Heading1"/>
      </w:pPr>
      <w:r>
        <w:t>Mac recording controls</w:t>
      </w:r>
    </w:p>
    <w:p>
      <w:r>
        <w:t>1. Press Shift-Command-5 and choose Record Selected Portion around the presentation area.</w:t>
      </w:r>
    </w:p>
    <w:p>
      <w:r>
        <w:t>2. In Options, select your microphone and enable Show Mouse Clicks. Make a ten-second recording and check the audio.</w:t>
      </w:r>
    </w:p>
    <w:p>
      <w:r>
        <w:t>3. Record the walkthrough. Stop with Command-Control-Esc or the menu-bar Stop button.</w:t>
      </w:r>
    </w:p>
    <w:p>
      <w:r>
        <w:t>4. Play back the final recording. Confirm clear audio, readable code and citations, and a duration under five minutes.</w:t>
      </w:r>
    </w:p>
    <w:p>
      <w:r>
        <w:rPr>
          <w:sz w:val="20"/>
        </w:rPr>
      </w:r>
      <w:hyperlink r:id="rId10">
        <w:r>
          <w:rPr>
            <w:color w:val="000000"/>
            <w:u w:val="single"/>
          </w:rPr>
          <w:t>Apple screen recording instructions</w:t>
        </w:r>
      </w:hyperlink>
    </w:p>
    <w:p>
      <w:r>
        <w:rPr>
          <w:sz w:val="20"/>
        </w:rPr>
        <w:t>Keep the results precise: the 200 tests are automated checks, 10/14 measures generated-answer coverage, 19/22 is AI-judged claim support, and the 24-second figure is backend p95. Human quality ratings remain unscored.</w:t>
      </w:r>
    </w:p>
    <w:p>
      <w:r>
        <w:rPr>
          <w:sz w:val="20"/>
        </w:rPr>
      </w:r>
      <w:r>
        <w:t xml:space="preserve">Assets: </w:t>
      </w:r>
      <w:hyperlink r:id="rId11">
        <w:r>
          <w:rPr>
            <w:color w:val="000000"/>
            <w:u w:val="single"/>
          </w:rPr>
          <w:t>Architecture PNG</w:t>
        </w:r>
      </w:hyperlink>
      <w:r>
        <w:t xml:space="preserve">  |  </w:t>
      </w:r>
      <w:hyperlink r:id="rId12">
        <w:r>
          <w:rPr>
            <w:color w:val="000000"/>
            <w:u w:val="single"/>
          </w:rPr>
          <w:t>Workflow code</w:t>
        </w:r>
      </w:hyperlink>
      <w:r>
        <w:t xml:space="preserve">  |  </w:t>
      </w:r>
      <w:hyperlink r:id="rId13">
        <w:r>
          <w:rPr>
            <w:color w:val="000000"/>
            <w:u w:val="single"/>
          </w:rPr>
          <w:t>Generation code</w:t>
        </w:r>
      </w:hyperlink>
    </w:p>
    <w:sectPr w:rsidR="00FC693F" w:rsidRPr="0006063C" w:rsidSect="00034616">
      <w:footerReference w:type="default" r:id="rId9"/>
      <w:pgSz w:w="12240" w:h="15840"/>
      <w:pgMar w:top="936" w:right="1008" w:bottom="936"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Engineering Issue Desk  |  Recording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upport.apple.com/en-us/102618" TargetMode="External"/><Relationship Id="rId11" Type="http://schemas.openxmlformats.org/officeDocument/2006/relationships/hyperlink" Target="https://github.com/naresh25ganji/engineering-issue-desk/blob/main/docs/architecture.png" TargetMode="External"/><Relationship Id="rId12" Type="http://schemas.openxmlformats.org/officeDocument/2006/relationships/hyperlink" Target="https://github.com/naresh25ganji/engineering-issue-desk/blob/main/triage_desk/workflow.py#L203" TargetMode="External"/><Relationship Id="rId13" Type="http://schemas.openxmlformats.org/officeDocument/2006/relationships/hyperlink" Target="https://github.com/naresh25ganji/engineering-issue-desk/blob/main/triage_desk/generation.py#L2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Issue Desk Video Recording Guide</dc:title>
  <dc:subject>Four minute and forty second design focused walkthrough</dc:subject>
  <dc:creator>Naresh Ganji</dc:creator>
  <cp:keywords>Week 2, RAG, recording guide</cp:keywords>
  <dc:description>generated by python-docx</dc:description>
  <cp:lastModifiedBy/>
  <cp:revision>1</cp:revision>
  <dcterms:created xsi:type="dcterms:W3CDTF">2013-12-23T23:15:00Z</dcterms:created>
  <dcterms:modified xsi:type="dcterms:W3CDTF">2013-12-23T23:15:00Z</dcterms:modified>
  <cp:category/>
</cp:coreProperties>
</file>