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Issue Desk</w:t>
      </w:r>
    </w:p>
    <w:p>
      <w:pPr>
        <w:pStyle w:val="Subtitle"/>
      </w:pPr>
      <w:r>
        <w:t>Week 2 Project Report</w:t>
      </w:r>
    </w:p>
    <w:p>
      <w:r>
        <w:t>18 October 2026</w:t>
      </w:r>
    </w:p>
    <w:p>
      <w:r>
        <w:t>I built a Streamlit investigation workspace that retrieves official framework guidance and related public issue reports, produces cited answers when evidence supports them, and prepares a reviewable issue draft when local details are missing. The project has a working RAG pipeline and measured failure cases; it remains a diagnostic prototype with unverified human answer quality.</w:t>
      </w:r>
    </w:p>
    <w:p>
      <w:pPr>
        <w:pStyle w:val="Heading1"/>
      </w:pPr>
      <w:r>
        <w:t>Project scope and success targets</w:t>
      </w:r>
    </w:p>
    <w:p>
      <w:r>
        <w:t>My RAG app helps Streamlit developers answer framework behavior and related issue questions from a versioned English corpus of 38 official documentation records, 24 public issue reports, two contribution records, and one release note excerpt. I target 95% fully supported factual claims and warm end to end p95 latency of at most 20 seconds. These are goals, not achieved results.</w:t>
      </w:r>
    </w:p>
    <w:p>
      <w:r>
        <w:t>The user can investigate caching, reruns, session state, widgets, uploads, installation, and deployment. Eligible investigation requests retrieve evidence again, expose literal support spans and provenance, and separate documentation from reporter observations. The app cannot inspect a developer’s machine, prove a duplicate, promise a fix, post an issue, or execute source code.</w:t>
      </w:r>
    </w:p>
    <w:p>
      <w:pPr>
        <w:pStyle w:val="Heading1"/>
      </w:pPr>
      <w:r>
        <w:t>Corpus and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3384"/>
        <w:gridCol w:w="1152"/>
        <w:gridCol w:w="5544"/>
      </w:tblGrid>
      <w:tr>
        <w:trPr>
          <w:tblHeader/>
        </w:trPr>
        <w:tc>
          <w:tcPr>
            <w:tcW w:type="dxa" w:w="3384"/>
            <w:vAlign w:val="center"/>
            <w:shd w:fill="EEEEEE"/>
          </w:tcPr>
          <w:p>
            <w:pPr>
              <w:spacing w:after="0" w:line="250" w:lineRule="auto"/>
            </w:pPr>
            <w:r>
              <w:rPr>
                <w:b/>
                <w:color w:val="000000"/>
                <w:sz w:val="19"/>
              </w:rPr>
              <w:t>Source type</w:t>
            </w:r>
          </w:p>
        </w:tc>
        <w:tc>
          <w:tcPr>
            <w:tcW w:type="dxa" w:w="1152"/>
            <w:vAlign w:val="center"/>
            <w:shd w:fill="EEEEEE"/>
          </w:tcPr>
          <w:p>
            <w:pPr>
              <w:spacing w:after="0" w:line="250" w:lineRule="auto"/>
              <w:jc w:val="center"/>
            </w:pPr>
            <w:r>
              <w:rPr>
                <w:b/>
                <w:color w:val="000000"/>
                <w:sz w:val="19"/>
              </w:rPr>
              <w:t>Records</w:t>
            </w:r>
          </w:p>
        </w:tc>
        <w:tc>
          <w:tcPr>
            <w:tcW w:type="dxa" w:w="5544"/>
            <w:vAlign w:val="center"/>
            <w:shd w:fill="EEEEEE"/>
          </w:tcPr>
          <w:p>
            <w:pPr>
              <w:spacing w:after="0" w:line="250" w:lineRule="auto"/>
            </w:pPr>
            <w:r>
              <w:rPr>
                <w:b/>
                <w:color w:val="000000"/>
                <w:sz w:val="19"/>
              </w:rPr>
              <w:t>Scope</w:t>
            </w:r>
          </w:p>
        </w:tc>
      </w:tr>
      <w:tr>
        <w:tc>
          <w:tcPr>
            <w:tcW w:type="dxa" w:w="3384"/>
            <w:vAlign w:val="center"/>
          </w:tcPr>
          <w:p>
            <w:pPr>
              <w:spacing w:after="0" w:line="250" w:lineRule="auto"/>
            </w:pPr>
            <w:r>
              <w:rPr>
                <w:b w:val="0"/>
                <w:color w:val="000000"/>
                <w:sz w:val="19"/>
              </w:rPr>
              <w:t>Official documentation and API</w:t>
            </w:r>
          </w:p>
        </w:tc>
        <w:tc>
          <w:tcPr>
            <w:tcW w:type="dxa" w:w="1152"/>
            <w:vAlign w:val="center"/>
          </w:tcPr>
          <w:p>
            <w:pPr>
              <w:spacing w:after="0" w:line="250" w:lineRule="auto"/>
              <w:jc w:val="center"/>
            </w:pPr>
            <w:r>
              <w:rPr>
                <w:b w:val="0"/>
                <w:color w:val="000000"/>
                <w:sz w:val="19"/>
              </w:rPr>
              <w:t>38</w:t>
            </w:r>
          </w:p>
        </w:tc>
        <w:tc>
          <w:tcPr>
            <w:tcW w:type="dxa" w:w="5544"/>
            <w:vAlign w:val="center"/>
          </w:tcPr>
          <w:p>
            <w:pPr>
              <w:spacing w:after="0" w:line="250" w:lineRule="auto"/>
            </w:pPr>
            <w:r>
              <w:rPr>
                <w:b w:val="0"/>
                <w:color w:val="000000"/>
                <w:sz w:val="19"/>
              </w:rPr>
              <w:t>Framework concepts and API records</w:t>
            </w:r>
          </w:p>
        </w:tc>
      </w:tr>
      <w:tr>
        <w:tc>
          <w:tcPr>
            <w:tcW w:type="dxa" w:w="3384"/>
            <w:vAlign w:val="center"/>
          </w:tcPr>
          <w:p>
            <w:pPr>
              <w:spacing w:after="0" w:line="250" w:lineRule="auto"/>
            </w:pPr>
            <w:r>
              <w:rPr>
                <w:b w:val="0"/>
                <w:color w:val="000000"/>
                <w:sz w:val="19"/>
              </w:rPr>
              <w:t>Public GitHub issue reports</w:t>
            </w:r>
          </w:p>
        </w:tc>
        <w:tc>
          <w:tcPr>
            <w:tcW w:type="dxa" w:w="1152"/>
            <w:vAlign w:val="center"/>
          </w:tcPr>
          <w:p>
            <w:pPr>
              <w:spacing w:after="0" w:line="250" w:lineRule="auto"/>
              <w:jc w:val="center"/>
            </w:pPr>
            <w:r>
              <w:rPr>
                <w:b w:val="0"/>
                <w:color w:val="000000"/>
                <w:sz w:val="19"/>
              </w:rPr>
              <w:t>24</w:t>
            </w:r>
          </w:p>
        </w:tc>
        <w:tc>
          <w:tcPr>
            <w:tcW w:type="dxa" w:w="5544"/>
            <w:vAlign w:val="center"/>
          </w:tcPr>
          <w:p>
            <w:pPr>
              <w:spacing w:after="0" w:line="250" w:lineRule="auto"/>
            </w:pPr>
            <w:r>
              <w:rPr>
                <w:b w:val="0"/>
                <w:color w:val="000000"/>
                <w:sz w:val="19"/>
              </w:rPr>
              <w:t>Dated bodies only; no comments or attachments</w:t>
            </w:r>
          </w:p>
        </w:tc>
      </w:tr>
      <w:tr>
        <w:tc>
          <w:tcPr>
            <w:tcW w:type="dxa" w:w="3384"/>
            <w:vAlign w:val="center"/>
          </w:tcPr>
          <w:p>
            <w:pPr>
              <w:spacing w:after="0" w:line="250" w:lineRule="auto"/>
            </w:pPr>
            <w:r>
              <w:rPr>
                <w:b w:val="0"/>
                <w:color w:val="000000"/>
                <w:sz w:val="19"/>
              </w:rPr>
              <w:t>Contribution guidance and template</w:t>
            </w:r>
          </w:p>
        </w:tc>
        <w:tc>
          <w:tcPr>
            <w:tcW w:type="dxa" w:w="1152"/>
            <w:vAlign w:val="center"/>
          </w:tcPr>
          <w:p>
            <w:pPr>
              <w:spacing w:after="0" w:line="250" w:lineRule="auto"/>
              <w:jc w:val="center"/>
            </w:pPr>
            <w:r>
              <w:rPr>
                <w:b w:val="0"/>
                <w:color w:val="000000"/>
                <w:sz w:val="19"/>
              </w:rPr>
              <w:t>2</w:t>
            </w:r>
          </w:p>
        </w:tc>
        <w:tc>
          <w:tcPr>
            <w:tcW w:type="dxa" w:w="5544"/>
            <w:vAlign w:val="center"/>
          </w:tcPr>
          <w:p>
            <w:pPr>
              <w:spacing w:after="0" w:line="250" w:lineRule="auto"/>
            </w:pPr>
            <w:r>
              <w:rPr>
                <w:b w:val="0"/>
                <w:color w:val="000000"/>
                <w:sz w:val="19"/>
              </w:rPr>
              <w:t>Contributor guidance and bug report fields</w:t>
            </w:r>
          </w:p>
        </w:tc>
      </w:tr>
      <w:tr>
        <w:tc>
          <w:tcPr>
            <w:tcW w:type="dxa" w:w="3384"/>
            <w:vAlign w:val="center"/>
          </w:tcPr>
          <w:p>
            <w:pPr>
              <w:spacing w:after="0" w:line="250" w:lineRule="auto"/>
            </w:pPr>
            <w:r>
              <w:rPr>
                <w:b w:val="0"/>
                <w:color w:val="000000"/>
                <w:sz w:val="19"/>
              </w:rPr>
              <w:t>Release notes</w:t>
            </w:r>
          </w:p>
        </w:tc>
        <w:tc>
          <w:tcPr>
            <w:tcW w:type="dxa" w:w="1152"/>
            <w:vAlign w:val="center"/>
          </w:tcPr>
          <w:p>
            <w:pPr>
              <w:spacing w:after="0" w:line="250" w:lineRule="auto"/>
              <w:jc w:val="center"/>
            </w:pPr>
            <w:r>
              <w:rPr>
                <w:b w:val="0"/>
                <w:color w:val="000000"/>
                <w:sz w:val="19"/>
              </w:rPr>
              <w:t>1</w:t>
            </w:r>
          </w:p>
        </w:tc>
        <w:tc>
          <w:tcPr>
            <w:tcW w:type="dxa" w:w="5544"/>
            <w:vAlign w:val="center"/>
          </w:tcPr>
          <w:p>
            <w:pPr>
              <w:spacing w:after="0" w:line="250" w:lineRule="auto"/>
            </w:pPr>
            <w:r>
              <w:rPr>
                <w:b w:val="0"/>
                <w:color w:val="000000"/>
                <w:sz w:val="19"/>
              </w:rPr>
              <w:t>Explicitly bounded 2026 excerpt</w:t>
            </w:r>
          </w:p>
        </w:tc>
      </w:tr>
      <w:tr>
        <w:tc>
          <w:tcPr>
            <w:tcW w:type="dxa" w:w="3384"/>
            <w:vAlign w:val="center"/>
          </w:tcPr>
          <w:p>
            <w:pPr>
              <w:spacing w:after="0" w:line="250" w:lineRule="auto"/>
            </w:pPr>
            <w:r>
              <w:rPr>
                <w:b w:val="0"/>
                <w:color w:val="000000"/>
                <w:sz w:val="19"/>
              </w:rPr>
              <w:t>Total</w:t>
            </w:r>
          </w:p>
        </w:tc>
        <w:tc>
          <w:tcPr>
            <w:tcW w:type="dxa" w:w="1152"/>
            <w:vAlign w:val="center"/>
          </w:tcPr>
          <w:p>
            <w:pPr>
              <w:spacing w:after="0" w:line="250" w:lineRule="auto"/>
              <w:jc w:val="center"/>
            </w:pPr>
            <w:r>
              <w:rPr>
                <w:b w:val="0"/>
                <w:color w:val="000000"/>
                <w:sz w:val="19"/>
              </w:rPr>
              <w:t>65</w:t>
            </w:r>
          </w:p>
        </w:tc>
        <w:tc>
          <w:tcPr>
            <w:tcW w:type="dxa" w:w="5544"/>
            <w:vAlign w:val="center"/>
          </w:tcPr>
          <w:p>
            <w:pPr>
              <w:spacing w:after="0" w:line="250" w:lineRule="auto"/>
            </w:pPr>
            <w:r>
              <w:rPr>
                <w:b w:val="0"/>
                <w:color w:val="000000"/>
                <w:sz w:val="19"/>
              </w:rPr>
              <w:t>English allowlisted source snapshot</w:t>
            </w:r>
          </w:p>
        </w:tc>
      </w:tr>
    </w:tbl>
    <w:p>
      <w:pPr>
        <w:spacing w:after="40"/>
      </w:pPr>
      <w:r>
        <w:rPr>
          <w:sz w:val="6"/>
        </w:rPr>
      </w:r>
    </w:p>
    <w:p>
      <w:r>
        <w:rPr>
          <w:sz w:val="20"/>
        </w:rPr>
        <w:t>Each record retains its source ID, canonical URL, kind, snapshot time, version scope, content hash, and commit when meaningful. The documentation pin is 7a0a34742a9fe4a879fe3641f83b8136bc5448d7; contribution files use 4278206f51bde8026a20c7d91c4ef473fece6c69. Five generated API records explicitly describe Streamlit 1.66.0. Mutable issue bodies have no invented commit pin.</w:t>
      </w:r>
    </w:p>
    <w:p>
      <w:r>
        <w:rPr>
          <w:sz w:val="20"/>
        </w:rPr>
        <w:t>Sources were captured on 18 October 2026 UTC, equivalent to 17 October Pacific. Issue state is a snapshot: 8 open and 16 closed does not establish affected versions or fixes. The bounded fetch script strips frontend markup and obvious email or token patterns, preserves useful headings and literal examples, and records attribution and licenses. Refresh is manual; advancing documentation pins requires review and reevaluation.</w:t>
      </w:r>
    </w:p>
    <w:p>
      <w:r>
        <w:br w:type="page"/>
      </w:r>
    </w:p>
    <w:p>
      <w:pPr>
        <w:pStyle w:val="Heading1"/>
      </w:pPr>
      <w:r>
        <w:t>Architecture and reference adaptations</w:t>
      </w:r>
    </w:p>
    <w:p>
      <w:r>
        <w:t>The common Week 2 work is complete in the application: scoped corpus ingestion, chunking, real embeddings, persistent storage, retrieval, and cited synthesis. I chose a bring your own engineering use case and adapted useful ideas from all four supplied solution guides after the initial independent implementation.</w:t>
      </w:r>
    </w:p>
    <w:p>
      <w:pPr>
        <w:pStyle w:val="Heading2"/>
      </w:pPr>
      <w:r>
        <w:t>Bounded investigation workflow</w:t>
      </w:r>
    </w:p>
    <w:p>
      <w:r>
        <w:t>The implemented LangGraph path is prepare → retrieve → grade → analyze → handoff → finish. LangChain Core Document objects carry text and metadata, and RunnableLambda wraps node functions. Guards request missing local diagnostics or stop unsupported requests. Optional generation uses one evidence directness grade, one synthesis call, and one separate claim support audit, with no automatic repair loop.</w:t>
      </w:r>
    </w:p>
    <w:p>
      <w:r>
        <w:t>BM25 supplies lexical rankings. Local FastEmbed BAAI/bge-small-en-v1.5 supplies normalized 384 dimensional vectors in a fingerprinted NumPy index; reciprocal rank fusion combines ranks. The lab returns at most six chunks from 18 candidates, with source caps. Optional hosted Qwen embeddings use a separate 1024 dimensional index. A model or index failure remains explicit.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376"/>
        <w:gridCol w:w="3312"/>
        <w:gridCol w:w="4392"/>
      </w:tblGrid>
      <w:tr>
        <w:trPr>
          <w:tblHeader/>
        </w:trPr>
        <w:tc>
          <w:tcPr>
            <w:tcW w:type="dxa" w:w="2376"/>
            <w:vAlign w:val="center"/>
            <w:shd w:fill="EEEEEE"/>
          </w:tcPr>
          <w:p>
            <w:pPr>
              <w:spacing w:after="0" w:line="250" w:lineRule="auto"/>
            </w:pPr>
            <w:r>
              <w:rPr>
                <w:b/>
                <w:color w:val="000000"/>
                <w:sz w:val="19"/>
              </w:rPr>
              <w:t>Course reference</w:t>
            </w:r>
          </w:p>
        </w:tc>
        <w:tc>
          <w:tcPr>
            <w:tcW w:type="dxa" w:w="3312"/>
            <w:vAlign w:val="center"/>
            <w:shd w:fill="EEEEEE"/>
          </w:tcPr>
          <w:p>
            <w:pPr>
              <w:spacing w:after="0" w:line="250" w:lineRule="auto"/>
            </w:pPr>
            <w:r>
              <w:rPr>
                <w:b/>
                <w:color w:val="000000"/>
                <w:sz w:val="19"/>
              </w:rPr>
              <w:t>Idea adapted</w:t>
            </w:r>
          </w:p>
        </w:tc>
        <w:tc>
          <w:tcPr>
            <w:tcW w:type="dxa" w:w="4392"/>
            <w:vAlign w:val="center"/>
            <w:shd w:fill="EEEEEE"/>
          </w:tcPr>
          <w:p>
            <w:pPr>
              <w:spacing w:after="0" w:line="250" w:lineRule="auto"/>
            </w:pPr>
            <w:r>
              <w:rPr>
                <w:b/>
                <w:color w:val="000000"/>
                <w:sz w:val="19"/>
              </w:rPr>
              <w:t>Engineering choice</w:t>
            </w:r>
          </w:p>
        </w:tc>
      </w:tr>
      <w:tr>
        <w:tc>
          <w:tcPr>
            <w:tcW w:type="dxa" w:w="2376"/>
            <w:vAlign w:val="center"/>
          </w:tcPr>
          <w:p>
            <w:pPr>
              <w:spacing w:after="0" w:line="250" w:lineRule="auto"/>
            </w:pPr>
            <w:r>
              <w:rPr>
                <w:b w:val="0"/>
                <w:color w:val="000000"/>
                <w:sz w:val="19"/>
              </w:rPr>
              <w:t>Enterprise Policy Q and A</w:t>
            </w:r>
          </w:p>
        </w:tc>
        <w:tc>
          <w:tcPr>
            <w:tcW w:type="dxa" w:w="3312"/>
            <w:vAlign w:val="center"/>
          </w:tcPr>
          <w:p>
            <w:pPr>
              <w:spacing w:after="0" w:line="250" w:lineRule="auto"/>
            </w:pPr>
            <w:r>
              <w:rPr>
                <w:b w:val="0"/>
                <w:color w:val="000000"/>
                <w:sz w:val="19"/>
              </w:rPr>
              <w:t>State and conditional routes; relevance and support checks</w:t>
            </w:r>
          </w:p>
        </w:tc>
        <w:tc>
          <w:tcPr>
            <w:tcW w:type="dxa" w:w="4392"/>
            <w:vAlign w:val="center"/>
          </w:tcPr>
          <w:p>
            <w:pPr>
              <w:spacing w:after="0" w:line="250" w:lineRule="auto"/>
            </w:pPr>
            <w:r>
              <w:rPr>
                <w:b w:val="0"/>
                <w:color w:val="000000"/>
                <w:sz w:val="19"/>
              </w:rPr>
              <w:t>Bounded batches; failed checks preserve evidence or request details</w:t>
            </w:r>
          </w:p>
        </w:tc>
      </w:tr>
      <w:tr>
        <w:tc>
          <w:tcPr>
            <w:tcW w:type="dxa" w:w="2376"/>
            <w:vAlign w:val="center"/>
          </w:tcPr>
          <w:p>
            <w:pPr>
              <w:spacing w:after="0" w:line="250" w:lineRule="auto"/>
            </w:pPr>
            <w:r>
              <w:rPr>
                <w:b w:val="0"/>
                <w:color w:val="000000"/>
                <w:sz w:val="19"/>
              </w:rPr>
              <w:t>Financial Document Intelligence</w:t>
            </w:r>
          </w:p>
        </w:tc>
        <w:tc>
          <w:tcPr>
            <w:tcW w:type="dxa" w:w="3312"/>
            <w:vAlign w:val="center"/>
          </w:tcPr>
          <w:p>
            <w:pPr>
              <w:spacing w:after="0" w:line="250" w:lineRule="auto"/>
            </w:pPr>
            <w:r>
              <w:rPr>
                <w:b w:val="0"/>
                <w:color w:val="000000"/>
                <w:sz w:val="19"/>
              </w:rPr>
              <w:t>Chunking comparison and real local reranking</w:t>
            </w:r>
          </w:p>
        </w:tc>
        <w:tc>
          <w:tcPr>
            <w:tcW w:type="dxa" w:w="4392"/>
            <w:vAlign w:val="center"/>
          </w:tcPr>
          <w:p>
            <w:pPr>
              <w:spacing w:after="0" w:line="250" w:lineRule="auto"/>
            </w:pPr>
            <w:r>
              <w:rPr>
                <w:b w:val="0"/>
                <w:color w:val="000000"/>
                <w:sz w:val="19"/>
              </w:rPr>
              <w:t>Literal Markdown and code boundaries; no financial scores imported</w:t>
            </w:r>
          </w:p>
        </w:tc>
      </w:tr>
      <w:tr>
        <w:tc>
          <w:tcPr>
            <w:tcW w:type="dxa" w:w="2376"/>
            <w:vAlign w:val="center"/>
          </w:tcPr>
          <w:p>
            <w:pPr>
              <w:spacing w:after="0" w:line="250" w:lineRule="auto"/>
            </w:pPr>
            <w:r>
              <w:rPr>
                <w:b w:val="0"/>
                <w:color w:val="000000"/>
                <w:sz w:val="19"/>
              </w:rPr>
              <w:t>Graph RAG Organizational Knowledge</w:t>
            </w:r>
          </w:p>
        </w:tc>
        <w:tc>
          <w:tcPr>
            <w:tcW w:type="dxa" w:w="3312"/>
            <w:vAlign w:val="center"/>
          </w:tcPr>
          <w:p>
            <w:pPr>
              <w:spacing w:after="0" w:line="250" w:lineRule="auto"/>
            </w:pPr>
            <w:r>
              <w:rPr>
                <w:b w:val="0"/>
                <w:color w:val="000000"/>
                <w:sz w:val="19"/>
              </w:rPr>
              <w:t>Inspectable entity seeds and two hop traversal</w:t>
            </w:r>
          </w:p>
        </w:tc>
        <w:tc>
          <w:tcPr>
            <w:tcW w:type="dxa" w:w="4392"/>
            <w:vAlign w:val="center"/>
          </w:tcPr>
          <w:p>
            <w:pPr>
              <w:spacing w:after="0" w:line="250" w:lineRule="auto"/>
            </w:pPr>
            <w:r>
              <w:rPr>
                <w:b w:val="0"/>
                <w:color w:val="000000"/>
                <w:sz w:val="19"/>
              </w:rPr>
              <w:t>Exact APIs and explicit metadata; provenance on every edge</w:t>
            </w:r>
          </w:p>
        </w:tc>
      </w:tr>
      <w:tr>
        <w:tc>
          <w:tcPr>
            <w:tcW w:type="dxa" w:w="2376"/>
            <w:vAlign w:val="center"/>
          </w:tcPr>
          <w:p>
            <w:pPr>
              <w:spacing w:after="0" w:line="250" w:lineRule="auto"/>
            </w:pPr>
            <w:r>
              <w:rPr>
                <w:b w:val="0"/>
                <w:color w:val="000000"/>
                <w:sz w:val="19"/>
              </w:rPr>
              <w:t>Customer Support Knowledge Base</w:t>
            </w:r>
          </w:p>
        </w:tc>
        <w:tc>
          <w:tcPr>
            <w:tcW w:type="dxa" w:w="3312"/>
            <w:vAlign w:val="center"/>
          </w:tcPr>
          <w:p>
            <w:pPr>
              <w:spacing w:after="0" w:line="250" w:lineRule="auto"/>
            </w:pPr>
            <w:r>
              <w:rPr>
                <w:b w:val="0"/>
                <w:color w:val="000000"/>
                <w:sz w:val="19"/>
              </w:rPr>
              <w:t>Hybrid retrieval, follow ups, answer or handoff</w:t>
            </w:r>
          </w:p>
        </w:tc>
        <w:tc>
          <w:tcPr>
            <w:tcW w:type="dxa" w:w="4392"/>
            <w:vAlign w:val="center"/>
          </w:tcPr>
          <w:p>
            <w:pPr>
              <w:spacing w:after="0" w:line="250" w:lineRule="auto"/>
            </w:pPr>
            <w:r>
              <w:rPr>
                <w:b w:val="0"/>
                <w:color w:val="000000"/>
                <w:sz w:val="19"/>
              </w:rPr>
              <w:t>Reviewable draft and checklist; no promised human contact</w:t>
            </w:r>
          </w:p>
        </w:tc>
      </w:tr>
    </w:tbl>
    <w:p>
      <w:pPr>
        <w:spacing w:after="40"/>
      </w:pPr>
      <w:r>
        <w:rPr>
          <w:sz w:val="6"/>
        </w:rPr>
      </w:r>
    </w:p>
    <w:p>
      <w:r>
        <w:t>The source fact graph contains 178 nodes and 456 edges, linking 65 sources to literal APIs, explicit reported versions, kinds, and issue states. Exact seeds and bounded two hop traversal are inspectable. A co mention is not a causal relationship; a closed issue is not proof of a fix. Optional graph augmentation adds only bounded chunks from the known corpus.</w:t>
      </w:r>
    </w:p>
    <w:p>
      <w:r>
        <w:t>Follow ups use at most the last three user requests for reference resolution, each limited to 1000 characters. Prior assistant text is never evidence. There is no persistent checkpoint or cross session memory. Drafts remain downloadable and reviewable; no external posting is implemented.</w:t>
      </w:r>
    </w:p>
    <w:p>
      <w:r>
        <w:rPr>
          <w:sz w:val="20"/>
        </w:rPr>
        <w:t>Whole reference implementations, prompts, datasets, and reported results were not copied. The project’s own tests and frozen evaluation outputs support its claims. Source paths: triage_desk/workflow.py, retrieval_lab.py, embeddings.py, hosted_embeddings.py, knowledge_graph.py, and core.py.</w:t>
      </w:r>
    </w:p>
    <w:p>
      <w:r>
        <w:br w:type="page"/>
      </w:r>
    </w:p>
    <w:p>
      <w:pPr>
        <w:pStyle w:val="Heading1"/>
      </w:pPr>
      <w:r>
        <w:t>Prompts and evidence controls</w:t>
      </w:r>
    </w:p>
    <w:p>
      <w:r>
        <w:t>I keep prompts with their runtime code so a reviewer can inspect the instructions actually sent. Evaluations record model identity, system prompt hashes, usage, stage status, and latency without storing credentials. Temperature is zero; this improves repeatability but does not guarantee deterministic or factual answers.</w:t>
      </w:r>
    </w:p>
    <w:p>
      <w:pPr>
        <w:pStyle w:val="Heading2"/>
      </w:pPr>
      <w:r>
        <w:t>Directness grade</w:t>
      </w:r>
    </w:p>
    <w:p>
      <w:r>
        <w:t>File triage_desk/workflow.py, constant GRADE_PROMPT. Exact instructions include: “Use only the supplied contexts; no background knowledge or invented completion of truncated statements.” The grader returns answerable, relevant citation IDs, a reason, and up to six missing details. A topically related passage is insufficient; invalid or unavailable grading fails closed.</w:t>
      </w:r>
    </w:p>
    <w:p>
      <w:pPr>
        <w:pStyle w:val="Heading2"/>
      </w:pPr>
      <w:r>
        <w:t>Cited synthesis</w:t>
      </w:r>
    </w:p>
    <w:p>
      <w:r>
        <w:t>File triage_desk/generation.py, synthesize function, local system prompt. Exact instructions include: “Use ONLY supplied evidence.” It also says: “If evidence cannot answer, return {"claims":[]}.” The model returns one to three concise claims with citation_id and preassigned quote_id support. Issue observations must be attributed; user assumptions and version numbers are requests, not factual evidence.</w:t>
      </w:r>
    </w:p>
    <w:p>
      <w:pPr>
        <w:pStyle w:val="Heading2"/>
      </w:pPr>
      <w:r>
        <w:t>Separate support audit</w:t>
      </w:r>
    </w:p>
    <w:p>
      <w:r>
        <w:t>File triage_desk/generation.py, constant VERIFICATION_PROMPT, version selected_quote_entailment_v1. Exact instruction: “Mark supported=true ONLY when every factual part of the entire statement follows from its selected quotes.” The audit receives claims, selected literal passages, and source metadata, without the question or unrelated contexts. It checks conditions, causality, attribution, and version scope. It can omit a claim; it cannot rewrite it or add evidence.</w:t>
      </w:r>
    </w:p>
    <w:p>
      <w:pPr>
        <w:pStyle w:val="Heading2"/>
      </w:pPr>
      <w:r>
        <w:t>Checks before an answer is shown</w:t>
      </w:r>
    </w:p>
    <w:p>
      <w:r>
        <w:t>The application resolves selected quote IDs to literal source text and checks JSON shape, known citations, quote and citation agreement, numerical literals, and prohibited links or formatting. A rejected output retains safe call metadata and leaves extracted evidence available. Partial answers disclose omitted claims. A matching quotation proves reference integrity, not that the statement follows from it.</w:t>
      </w:r>
    </w:p>
    <w:p>
      <w:r>
        <w:t>Generation, directness grading, and support auditing are AI judgments. Different model sizes do not create independent human validation, and models can share errors. Prompt instructions and formatting checks are limited defenses; this prototype does not claim complete prompt injection resistance.</w:t>
      </w:r>
    </w:p>
    <w:p>
      <w:pPr>
        <w:pStyle w:val="Heading2"/>
      </w:pPr>
      <w:r>
        <w:t>AI coding tools and iteration</w:t>
      </w:r>
    </w:p>
    <w:p>
      <w:r>
        <w:t>I used Codex and collaborating AI agents to review the handout and public course sequence, inspect my existing work, compare new project options, implement the standalone application, fetch bounded sources, write tests, and inspect generated outputs. The project choice and expansion scope came from the user conversation. AI review findings were retained as AI judgments, with human review fields left blank.</w:t>
      </w:r>
    </w:p>
    <w:p>
      <w:r>
        <w:t>The main iterations were a working evidence retrieval baseline, application assigned quote IDs after literal quote failures, a separate support audit after unsupported accepted claims, an independently authored frozen validation set, and the four guide feature expansion. I preserved earlier reports instead of presenting a later run as the original result.</w:t>
      </w:r>
    </w:p>
    <w:p>
      <w:r>
        <w:br w:type="page"/>
      </w:r>
    </w:p>
    <w:p>
      <w:pPr>
        <w:pStyle w:val="Heading1"/>
      </w:pPr>
      <w:r>
        <w:t>Retrieval experiments and observations</w:t>
      </w:r>
    </w:p>
    <w:p>
      <w:r>
        <w:t>I compared fixed hybrid, structured hybrid, and structured hybrid with actual FlashRank ms-marco-MiniLM-L-12-v2 reranking. Each used the same source family labels, top six results, and 18 candidates. Both 20 case sets contain 14 expected evidence cases and six boundary cases. This retrieval only experiment does not score answers or boundary behavior.</w:t>
      </w:r>
    </w:p>
    <w:p>
      <w:pPr>
        <w:pStyle w:val="Heading2"/>
      </w:pPr>
      <w:r>
        <w:t>Configuration and results</w:t>
      </w:r>
    </w:p>
    <w:p>
      <w:r>
        <w:t>The fixed baseline has 378 chunks using 180 word windows with 35 word overlap. The deterministic structure aware chunker has 688 chunks, preserving bounded paragraphs, headings, code fences, and table groups; 33 chunks explicitly identify partial oversized blocks. This is not embedding breakpoint semantic chunking.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376"/>
        <w:gridCol w:w="1800"/>
        <w:gridCol w:w="1872"/>
        <w:gridCol w:w="1944"/>
        <w:gridCol w:w="2088"/>
      </w:tblGrid>
      <w:tr>
        <w:trPr>
          <w:tblHeader/>
        </w:trPr>
        <w:tc>
          <w:tcPr>
            <w:tcW w:type="dxa" w:w="2376"/>
            <w:vAlign w:val="center"/>
            <w:shd w:fill="EEEEEE"/>
          </w:tcPr>
          <w:p>
            <w:pPr>
              <w:spacing w:after="0" w:line="250" w:lineRule="auto"/>
            </w:pPr>
            <w:r>
              <w:rPr>
                <w:b/>
                <w:color w:val="000000"/>
                <w:sz w:val="19"/>
              </w:rPr>
              <w:t>Configuration</w:t>
            </w:r>
          </w:p>
        </w:tc>
        <w:tc>
          <w:tcPr>
            <w:tcW w:type="dxa" w:w="1800"/>
            <w:vAlign w:val="center"/>
            <w:shd w:fill="EEEEEE"/>
          </w:tcPr>
          <w:p>
            <w:pPr>
              <w:spacing w:after="0" w:line="250" w:lineRule="auto"/>
              <w:jc w:val="center"/>
            </w:pPr>
            <w:r>
              <w:rPr>
                <w:b/>
                <w:color w:val="000000"/>
                <w:sz w:val="19"/>
              </w:rPr>
              <w:t>Original gold source precision</w:t>
            </w:r>
          </w:p>
        </w:tc>
        <w:tc>
          <w:tcPr>
            <w:tcW w:type="dxa" w:w="1872"/>
            <w:vAlign w:val="center"/>
            <w:shd w:fill="EEEEEE"/>
          </w:tcPr>
          <w:p>
            <w:pPr>
              <w:spacing w:after="0" w:line="250" w:lineRule="auto"/>
              <w:jc w:val="center"/>
            </w:pPr>
            <w:r>
              <w:rPr>
                <w:b/>
                <w:color w:val="000000"/>
                <w:sz w:val="19"/>
              </w:rPr>
              <w:t>Validation gold source precision</w:t>
            </w:r>
          </w:p>
        </w:tc>
        <w:tc>
          <w:tcPr>
            <w:tcW w:type="dxa" w:w="1944"/>
            <w:vAlign w:val="center"/>
            <w:shd w:fill="EEEEEE"/>
          </w:tcPr>
          <w:p>
            <w:pPr>
              <w:spacing w:after="0" w:line="250" w:lineRule="auto"/>
              <w:jc w:val="center"/>
            </w:pPr>
            <w:r>
              <w:rPr>
                <w:b/>
                <w:color w:val="000000"/>
                <w:sz w:val="19"/>
              </w:rPr>
              <w:t>Validation family recall</w:t>
            </w:r>
          </w:p>
        </w:tc>
        <w:tc>
          <w:tcPr>
            <w:tcW w:type="dxa" w:w="2088"/>
            <w:vAlign w:val="center"/>
            <w:shd w:fill="EEEEEE"/>
          </w:tcPr>
          <w:p>
            <w:pPr>
              <w:spacing w:after="0" w:line="250" w:lineRule="auto"/>
              <w:jc w:val="center"/>
            </w:pPr>
            <w:r>
              <w:rPr>
                <w:b/>
                <w:color w:val="000000"/>
                <w:sz w:val="19"/>
              </w:rPr>
              <w:t>Validation warm p95</w:t>
            </w:r>
          </w:p>
        </w:tc>
      </w:tr>
      <w:tr>
        <w:tc>
          <w:tcPr>
            <w:tcW w:type="dxa" w:w="2376"/>
            <w:vAlign w:val="center"/>
          </w:tcPr>
          <w:p>
            <w:pPr>
              <w:spacing w:after="0" w:line="250" w:lineRule="auto"/>
            </w:pPr>
            <w:r>
              <w:rPr>
                <w:b w:val="0"/>
                <w:color w:val="000000"/>
                <w:sz w:val="19"/>
              </w:rPr>
              <w:t>Fixed hybrid</w:t>
            </w:r>
          </w:p>
        </w:tc>
        <w:tc>
          <w:tcPr>
            <w:tcW w:type="dxa" w:w="1800"/>
            <w:vAlign w:val="center"/>
          </w:tcPr>
          <w:p>
            <w:pPr>
              <w:spacing w:after="0" w:line="250" w:lineRule="auto"/>
              <w:jc w:val="center"/>
            </w:pPr>
            <w:r>
              <w:rPr>
                <w:b w:val="0"/>
                <w:color w:val="000000"/>
                <w:sz w:val="19"/>
              </w:rPr>
              <w:t>0.450</w:t>
            </w:r>
          </w:p>
        </w:tc>
        <w:tc>
          <w:tcPr>
            <w:tcW w:type="dxa" w:w="1872"/>
            <w:vAlign w:val="center"/>
          </w:tcPr>
          <w:p>
            <w:pPr>
              <w:spacing w:after="0" w:line="250" w:lineRule="auto"/>
              <w:jc w:val="center"/>
            </w:pPr>
            <w:r>
              <w:rPr>
                <w:b w:val="0"/>
                <w:color w:val="000000"/>
                <w:sz w:val="19"/>
              </w:rPr>
              <w:t>0.402</w:t>
            </w:r>
          </w:p>
        </w:tc>
        <w:tc>
          <w:tcPr>
            <w:tcW w:type="dxa" w:w="1944"/>
            <w:vAlign w:val="center"/>
          </w:tcPr>
          <w:p>
            <w:pPr>
              <w:spacing w:after="0" w:line="250" w:lineRule="auto"/>
              <w:jc w:val="center"/>
            </w:pPr>
            <w:r>
              <w:rPr>
                <w:b w:val="0"/>
                <w:color w:val="000000"/>
                <w:sz w:val="19"/>
              </w:rPr>
              <w:t>0.964</w:t>
            </w:r>
          </w:p>
        </w:tc>
        <w:tc>
          <w:tcPr>
            <w:tcW w:type="dxa" w:w="2088"/>
            <w:vAlign w:val="center"/>
          </w:tcPr>
          <w:p>
            <w:pPr>
              <w:spacing w:after="0" w:line="250" w:lineRule="auto"/>
              <w:jc w:val="center"/>
            </w:pPr>
            <w:r>
              <w:rPr>
                <w:b w:val="0"/>
                <w:color w:val="000000"/>
                <w:sz w:val="19"/>
              </w:rPr>
              <w:t>20.49 ms</w:t>
            </w:r>
          </w:p>
        </w:tc>
      </w:tr>
      <w:tr>
        <w:tc>
          <w:tcPr>
            <w:tcW w:type="dxa" w:w="2376"/>
            <w:vAlign w:val="center"/>
          </w:tcPr>
          <w:p>
            <w:pPr>
              <w:spacing w:after="0" w:line="250" w:lineRule="auto"/>
            </w:pPr>
            <w:r>
              <w:rPr>
                <w:b w:val="0"/>
                <w:color w:val="000000"/>
                <w:sz w:val="19"/>
              </w:rPr>
              <w:t>Structured hybrid</w:t>
            </w:r>
          </w:p>
        </w:tc>
        <w:tc>
          <w:tcPr>
            <w:tcW w:type="dxa" w:w="1800"/>
            <w:vAlign w:val="center"/>
          </w:tcPr>
          <w:p>
            <w:pPr>
              <w:spacing w:after="0" w:line="250" w:lineRule="auto"/>
              <w:jc w:val="center"/>
            </w:pPr>
            <w:r>
              <w:rPr>
                <w:b w:val="0"/>
                <w:color w:val="000000"/>
                <w:sz w:val="19"/>
              </w:rPr>
              <w:t>0.475</w:t>
            </w:r>
          </w:p>
        </w:tc>
        <w:tc>
          <w:tcPr>
            <w:tcW w:type="dxa" w:w="1872"/>
            <w:vAlign w:val="center"/>
          </w:tcPr>
          <w:p>
            <w:pPr>
              <w:spacing w:after="0" w:line="250" w:lineRule="auto"/>
              <w:jc w:val="center"/>
            </w:pPr>
            <w:r>
              <w:rPr>
                <w:b w:val="0"/>
                <w:color w:val="000000"/>
                <w:sz w:val="19"/>
              </w:rPr>
              <w:t>0.410</w:t>
            </w:r>
          </w:p>
        </w:tc>
        <w:tc>
          <w:tcPr>
            <w:tcW w:type="dxa" w:w="1944"/>
            <w:vAlign w:val="center"/>
          </w:tcPr>
          <w:p>
            <w:pPr>
              <w:spacing w:after="0" w:line="250" w:lineRule="auto"/>
              <w:jc w:val="center"/>
            </w:pPr>
            <w:r>
              <w:rPr>
                <w:b w:val="0"/>
                <w:color w:val="000000"/>
                <w:sz w:val="19"/>
              </w:rPr>
              <w:t>0.964</w:t>
            </w:r>
          </w:p>
        </w:tc>
        <w:tc>
          <w:tcPr>
            <w:tcW w:type="dxa" w:w="2088"/>
            <w:vAlign w:val="center"/>
          </w:tcPr>
          <w:p>
            <w:pPr>
              <w:spacing w:after="0" w:line="250" w:lineRule="auto"/>
              <w:jc w:val="center"/>
            </w:pPr>
            <w:r>
              <w:rPr>
                <w:b w:val="0"/>
                <w:color w:val="000000"/>
                <w:sz w:val="19"/>
              </w:rPr>
              <w:t>17.50 ms</w:t>
            </w:r>
          </w:p>
        </w:tc>
      </w:tr>
      <w:tr>
        <w:tc>
          <w:tcPr>
            <w:tcW w:type="dxa" w:w="2376"/>
            <w:vAlign w:val="center"/>
          </w:tcPr>
          <w:p>
            <w:pPr>
              <w:spacing w:after="0" w:line="250" w:lineRule="auto"/>
            </w:pPr>
            <w:r>
              <w:rPr>
                <w:b w:val="0"/>
                <w:color w:val="000000"/>
                <w:sz w:val="19"/>
              </w:rPr>
              <w:t>Structured and rerank</w:t>
            </w:r>
          </w:p>
        </w:tc>
        <w:tc>
          <w:tcPr>
            <w:tcW w:type="dxa" w:w="1800"/>
            <w:vAlign w:val="center"/>
          </w:tcPr>
          <w:p>
            <w:pPr>
              <w:spacing w:after="0" w:line="250" w:lineRule="auto"/>
              <w:jc w:val="center"/>
            </w:pPr>
            <w:r>
              <w:rPr>
                <w:b w:val="0"/>
                <w:color w:val="000000"/>
                <w:sz w:val="19"/>
              </w:rPr>
              <w:t>0.444</w:t>
            </w:r>
          </w:p>
        </w:tc>
        <w:tc>
          <w:tcPr>
            <w:tcW w:type="dxa" w:w="1872"/>
            <w:vAlign w:val="center"/>
          </w:tcPr>
          <w:p>
            <w:pPr>
              <w:spacing w:after="0" w:line="250" w:lineRule="auto"/>
              <w:jc w:val="center"/>
            </w:pPr>
            <w:r>
              <w:rPr>
                <w:b w:val="0"/>
                <w:color w:val="000000"/>
                <w:sz w:val="19"/>
              </w:rPr>
              <w:t>0.310</w:t>
            </w:r>
          </w:p>
        </w:tc>
        <w:tc>
          <w:tcPr>
            <w:tcW w:type="dxa" w:w="1944"/>
            <w:vAlign w:val="center"/>
          </w:tcPr>
          <w:p>
            <w:pPr>
              <w:spacing w:after="0" w:line="250" w:lineRule="auto"/>
              <w:jc w:val="center"/>
            </w:pPr>
            <w:r>
              <w:rPr>
                <w:b w:val="0"/>
                <w:color w:val="000000"/>
                <w:sz w:val="19"/>
              </w:rPr>
              <w:t>0.893</w:t>
            </w:r>
          </w:p>
        </w:tc>
        <w:tc>
          <w:tcPr>
            <w:tcW w:type="dxa" w:w="2088"/>
            <w:vAlign w:val="center"/>
          </w:tcPr>
          <w:p>
            <w:pPr>
              <w:spacing w:after="0" w:line="250" w:lineRule="auto"/>
              <w:jc w:val="center"/>
            </w:pPr>
            <w:r>
              <w:rPr>
                <w:b w:val="0"/>
                <w:color w:val="000000"/>
                <w:sz w:val="19"/>
              </w:rPr>
              <w:t>891.95 ms</w:t>
            </w:r>
          </w:p>
        </w:tc>
      </w:tr>
    </w:tbl>
    <w:p>
      <w:pPr>
        <w:spacing w:after="40"/>
      </w:pPr>
      <w:r>
        <w:rPr>
          <w:sz w:val="6"/>
        </w:rPr>
      </w:r>
    </w:p>
    <w:p>
      <w:r>
        <w:t>All three configurations retrieved at least one expected family for all 14 evidence questions in each set, and literal reference checks passed on all 20 retrieval queries per configuration. Source labels are incomplete: the precision column is a source selection proxy, not passage relevance or RAGAS. Family recall measures whether all labeled families were found, whereas Hit at six needs only one.</w:t>
      </w:r>
    </w:p>
    <w:p>
      <w:r>
        <w:t>Structured chunks modestly improved the precision proxy here. Reranking lowered validation family recall and added latency, so the experiment does not support enabling it by default. Fixed overlap and structured boundaries change together; this is a configuration comparison, not a causal estimate of chunk structure alone.</w:t>
      </w:r>
    </w:p>
    <w:p>
      <w:pPr>
        <w:pStyle w:val="Heading2"/>
      </w:pPr>
      <w:r>
        <w:t>Hosted embedding experiment</w:t>
      </w:r>
    </w:p>
    <w:p>
      <w:r>
        <w:t>A real optional Nebius Qwen/Qwen3-Embedding-8B index was built for 688 structured chunks with 1024 dimensions. Its cold preparation used 23 requests, 113064 reported tokens, and about 54.3 seconds. Later queries can reuse its fingerprinted cache. This establishes actual hosted indexing, not improved retrieval quality; the table above uses local BGE embeddings.</w:t>
      </w:r>
    </w:p>
    <w:p>
      <w:r>
        <w:t>Local initialization took about 38.8 seconds for fixed and 61.1 seconds for structured, with shared caches and execution order. Warm retrieval timings exclude generation, UI transport, and rendering; they are not production guarantees.</w:t>
      </w:r>
    </w:p>
    <w:p>
      <w:r>
        <w:t>A separate six distinct source comparison found exact entity graph Hit at six of 5/14 on original questions and 3/14 on validation, versus 14/14 for hybrid source selection on both. Many conceptual questions have no exact API or reported version seed. The graph remains an optional relationship explorer and augmentation, not a universal replacement for retrieval. See evaluation/graph-comparison-results/.</w:t>
      </w:r>
    </w:p>
    <w:p>
      <w:r>
        <w:rPr>
          <w:sz w:val="20"/>
        </w:rPr>
        <w:t>Reproduce the comparison with evaluation/retrieval_lab.py. The frozen report and readable HTML are in evaluation/retrieval-lab-results/. That report records corpus and question hashes, exact configurations, initialization, errors, timing denominators, and known measurement limits.</w:t>
      </w:r>
    </w:p>
    <w:p>
      <w:r>
        <w:br w:type="page"/>
      </w:r>
    </w:p>
    <w:p>
      <w:pPr>
        <w:pStyle w:val="Heading1"/>
      </w:pPr>
      <w:r>
        <w:t>Generated answer evaluation</w:t>
      </w:r>
    </w:p>
    <w:p>
      <w:r>
        <w:t>The expanded workflow ran once on the 20 case frozen AI authored validation set with structured hybrid retrieval, hosted Qwen embeddings, reranking, graph augmentation, and live Nebius generation. Directness grading and synthesis used Qwen/Qwen3-30B-A3B-Instruct-2507; the support audit used Qwen/Qwen3-235B-A22B-Instruct-2507. This configuration differs from the local retrieval comparison, so its results cannot isolate an individual feature’s benefit.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3816"/>
        <w:gridCol w:w="6264"/>
      </w:tblGrid>
      <w:tr>
        <w:trPr>
          <w:tblHeader/>
        </w:trPr>
        <w:tc>
          <w:tcPr>
            <w:tcW w:type="dxa" w:w="3816"/>
            <w:vAlign w:val="center"/>
            <w:shd w:fill="EEEEEE"/>
          </w:tcPr>
          <w:p>
            <w:pPr>
              <w:spacing w:after="0" w:line="250" w:lineRule="auto"/>
            </w:pPr>
            <w:r>
              <w:rPr>
                <w:b/>
                <w:color w:val="000000"/>
                <w:sz w:val="19"/>
              </w:rPr>
              <w:t>Observed measure</w:t>
            </w:r>
          </w:p>
        </w:tc>
        <w:tc>
          <w:tcPr>
            <w:tcW w:type="dxa" w:w="6264"/>
            <w:vAlign w:val="center"/>
            <w:shd w:fill="EEEEEE"/>
          </w:tcPr>
          <w:p>
            <w:pPr>
              <w:spacing w:after="0" w:line="250" w:lineRule="auto"/>
            </w:pPr>
            <w:r>
              <w:rPr>
                <w:b/>
                <w:color w:val="000000"/>
                <w:sz w:val="19"/>
              </w:rPr>
              <w:t>Current full workflow result</w:t>
            </w:r>
          </w:p>
        </w:tc>
      </w:tr>
      <w:tr>
        <w:tc>
          <w:tcPr>
            <w:tcW w:type="dxa" w:w="3816"/>
            <w:vAlign w:val="center"/>
          </w:tcPr>
          <w:p>
            <w:pPr>
              <w:spacing w:after="0" w:line="250" w:lineRule="auto"/>
            </w:pPr>
            <w:r>
              <w:rPr>
                <w:b w:val="0"/>
                <w:color w:val="000000"/>
                <w:sz w:val="19"/>
              </w:rPr>
              <w:t>Completed cases and errors</w:t>
            </w:r>
          </w:p>
        </w:tc>
        <w:tc>
          <w:tcPr>
            <w:tcW w:type="dxa" w:w="6264"/>
            <w:vAlign w:val="center"/>
          </w:tcPr>
          <w:p>
            <w:pPr>
              <w:spacing w:after="0" w:line="250" w:lineRule="auto"/>
            </w:pPr>
            <w:r>
              <w:rPr>
                <w:b w:val="0"/>
                <w:color w:val="000000"/>
                <w:sz w:val="19"/>
              </w:rPr>
              <w:t>20/20 completed; 0 errors</w:t>
            </w:r>
          </w:p>
        </w:tc>
      </w:tr>
      <w:tr>
        <w:tc>
          <w:tcPr>
            <w:tcW w:type="dxa" w:w="3816"/>
            <w:vAlign w:val="center"/>
          </w:tcPr>
          <w:p>
            <w:pPr>
              <w:spacing w:after="0" w:line="250" w:lineRule="auto"/>
            </w:pPr>
            <w:r>
              <w:rPr>
                <w:b w:val="0"/>
                <w:color w:val="000000"/>
                <w:sz w:val="19"/>
              </w:rPr>
              <w:t>Expected behavior</w:t>
            </w:r>
          </w:p>
        </w:tc>
        <w:tc>
          <w:tcPr>
            <w:tcW w:type="dxa" w:w="6264"/>
            <w:vAlign w:val="center"/>
          </w:tcPr>
          <w:p>
            <w:pPr>
              <w:spacing w:after="0" w:line="250" w:lineRule="auto"/>
            </w:pPr>
            <w:r>
              <w:rPr>
                <w:b w:val="0"/>
                <w:color w:val="000000"/>
                <w:sz w:val="19"/>
              </w:rPr>
              <w:t>19/20; all six boundary cases passed</w:t>
            </w:r>
          </w:p>
        </w:tc>
      </w:tr>
      <w:tr>
        <w:tc>
          <w:tcPr>
            <w:tcW w:type="dxa" w:w="3816"/>
            <w:vAlign w:val="center"/>
          </w:tcPr>
          <w:p>
            <w:pPr>
              <w:spacing w:after="0" w:line="250" w:lineRule="auto"/>
            </w:pPr>
            <w:r>
              <w:rPr>
                <w:b w:val="0"/>
                <w:color w:val="000000"/>
                <w:sz w:val="19"/>
              </w:rPr>
              <w:t>Final evidence source family hit</w:t>
            </w:r>
          </w:p>
        </w:tc>
        <w:tc>
          <w:tcPr>
            <w:tcW w:type="dxa" w:w="6264"/>
            <w:vAlign w:val="center"/>
          </w:tcPr>
          <w:p>
            <w:pPr>
              <w:spacing w:after="0" w:line="250" w:lineRule="auto"/>
            </w:pPr>
            <w:r>
              <w:rPr>
                <w:b w:val="0"/>
                <w:color w:val="000000"/>
                <w:sz w:val="19"/>
              </w:rPr>
              <w:t>13/14 expected evidence cases</w:t>
            </w:r>
          </w:p>
        </w:tc>
      </w:tr>
      <w:tr>
        <w:tc>
          <w:tcPr>
            <w:tcW w:type="dxa" w:w="3816"/>
            <w:vAlign w:val="center"/>
          </w:tcPr>
          <w:p>
            <w:pPr>
              <w:spacing w:after="0" w:line="250" w:lineRule="auto"/>
            </w:pPr>
            <w:r>
              <w:rPr>
                <w:b w:val="0"/>
                <w:color w:val="000000"/>
                <w:sz w:val="19"/>
              </w:rPr>
              <w:t>Generated answer coverage</w:t>
            </w:r>
          </w:p>
        </w:tc>
        <w:tc>
          <w:tcPr>
            <w:tcW w:type="dxa" w:w="6264"/>
            <w:vAlign w:val="center"/>
          </w:tcPr>
          <w:p>
            <w:pPr>
              <w:spacing w:after="0" w:line="250" w:lineRule="auto"/>
            </w:pPr>
            <w:r>
              <w:rPr>
                <w:b w:val="0"/>
                <w:color w:val="000000"/>
                <w:sz w:val="19"/>
              </w:rPr>
              <w:t>10/14 expected evidence cases; four answers labeled partial</w:t>
            </w:r>
          </w:p>
        </w:tc>
      </w:tr>
      <w:tr>
        <w:tc>
          <w:tcPr>
            <w:tcW w:type="dxa" w:w="3816"/>
            <w:vAlign w:val="center"/>
          </w:tcPr>
          <w:p>
            <w:pPr>
              <w:spacing w:after="0" w:line="250" w:lineRule="auto"/>
            </w:pPr>
            <w:r>
              <w:rPr>
                <w:b w:val="0"/>
                <w:color w:val="000000"/>
                <w:sz w:val="19"/>
              </w:rPr>
              <w:t>Answer generation outcomes</w:t>
            </w:r>
          </w:p>
        </w:tc>
        <w:tc>
          <w:tcPr>
            <w:tcW w:type="dxa" w:w="6264"/>
            <w:vAlign w:val="center"/>
          </w:tcPr>
          <w:p>
            <w:pPr>
              <w:spacing w:after="0" w:line="250" w:lineRule="auto"/>
            </w:pPr>
            <w:r>
              <w:rPr>
                <w:b w:val="0"/>
                <w:color w:val="000000"/>
                <w:sz w:val="19"/>
              </w:rPr>
              <w:t>13 synthesis attempts; 3 structural fallbacks; 1 evidence case clarified</w:t>
            </w:r>
          </w:p>
        </w:tc>
      </w:tr>
      <w:tr>
        <w:tc>
          <w:tcPr>
            <w:tcW w:type="dxa" w:w="3816"/>
            <w:vAlign w:val="center"/>
          </w:tcPr>
          <w:p>
            <w:pPr>
              <w:spacing w:after="0" w:line="250" w:lineRule="auto"/>
            </w:pPr>
            <w:r>
              <w:rPr>
                <w:b w:val="0"/>
                <w:color w:val="000000"/>
                <w:sz w:val="19"/>
              </w:rPr>
              <w:t>Retained claims and reference checks</w:t>
            </w:r>
          </w:p>
        </w:tc>
        <w:tc>
          <w:tcPr>
            <w:tcW w:type="dxa" w:w="6264"/>
            <w:vAlign w:val="center"/>
          </w:tcPr>
          <w:p>
            <w:pPr>
              <w:spacing w:after="0" w:line="250" w:lineRule="auto"/>
            </w:pPr>
            <w:r>
              <w:rPr>
                <w:b w:val="0"/>
                <w:color w:val="000000"/>
                <w:sz w:val="19"/>
              </w:rPr>
              <w:t>22 retained claims; literal reference integrity 1.0</w:t>
            </w:r>
          </w:p>
        </w:tc>
      </w:tr>
      <w:tr>
        <w:tc>
          <w:tcPr>
            <w:tcW w:type="dxa" w:w="3816"/>
            <w:vAlign w:val="center"/>
          </w:tcPr>
          <w:p>
            <w:pPr>
              <w:spacing w:after="0" w:line="250" w:lineRule="auto"/>
            </w:pPr>
            <w:r>
              <w:rPr>
                <w:b w:val="0"/>
                <w:color w:val="000000"/>
                <w:sz w:val="19"/>
              </w:rPr>
              <w:t>Actual provider calls and reported usage</w:t>
            </w:r>
          </w:p>
        </w:tc>
        <w:tc>
          <w:tcPr>
            <w:tcW w:type="dxa" w:w="6264"/>
            <w:vAlign w:val="center"/>
          </w:tcPr>
          <w:p>
            <w:pPr>
              <w:spacing w:after="0" w:line="250" w:lineRule="auto"/>
            </w:pPr>
            <w:r>
              <w:rPr>
                <w:b w:val="0"/>
                <w:color w:val="000000"/>
                <w:sz w:val="19"/>
              </w:rPr>
              <w:t>55 calls; 62215 total tokens</w:t>
            </w:r>
          </w:p>
        </w:tc>
      </w:tr>
      <w:tr>
        <w:tc>
          <w:tcPr>
            <w:tcW w:type="dxa" w:w="3816"/>
            <w:vAlign w:val="center"/>
          </w:tcPr>
          <w:p>
            <w:pPr>
              <w:spacing w:after="0" w:line="250" w:lineRule="auto"/>
            </w:pPr>
            <w:r>
              <w:rPr>
                <w:b w:val="0"/>
                <w:color w:val="000000"/>
                <w:sz w:val="19"/>
              </w:rPr>
              <w:t>Observed shared cache backend timings</w:t>
            </w:r>
          </w:p>
        </w:tc>
        <w:tc>
          <w:tcPr>
            <w:tcW w:type="dxa" w:w="6264"/>
            <w:vAlign w:val="center"/>
          </w:tcPr>
          <w:p>
            <w:pPr>
              <w:spacing w:after="0" w:line="250" w:lineRule="auto"/>
            </w:pPr>
            <w:r>
              <w:rPr>
                <w:b w:val="0"/>
                <w:color w:val="000000"/>
                <w:sz w:val="19"/>
              </w:rPr>
              <w:t>All case p95 22.75 s; evidence case p95 24.08 s</w:t>
            </w:r>
          </w:p>
        </w:tc>
      </w:tr>
    </w:tbl>
    <w:p>
      <w:pPr>
        <w:spacing w:after="40"/>
      </w:pPr>
      <w:r>
        <w:rPr>
          <w:sz w:val="6"/>
        </w:rPr>
      </w:r>
    </w:p>
    <w:p>
      <w:r>
        <w:t>The 55 calls comprise 16 query embeddings, 16 directness grades, 13 drafts, and 10 support audits. The 62215 token total covers this recorded workflow run; cold source indexing and earlier iterations are separate. No monetary estimate is inferred. Full backend times include the graph and provider work, but exclude browser transport and rendering; the measured 24.08 second evidence case p95 already exceeds the 20 second end to end target.</w:t>
      </w:r>
    </w:p>
    <w:p>
      <w:r>
        <w:t>Three drafts safely fell back because of mismatched quote IDs, unknown citations, or prohibited formatting. One expected evidence case requested clarification, causing the behavior failure. The inline audit retained 22 claims and omitted five; acceptance is not a correctness score.</w:t>
      </w:r>
    </w:p>
    <w:p>
      <w:r>
        <w:t>A separate AI reviewer judged 19/22 retained claims fully supported, an 86.36% AI judgment rather than human accuracy. Mean ordinal scores were faithfulness 1.70/2, relevance 1.10/2, and entailment 1.70/2. The three retained gaps were unconditional cache reuse without matching other hashed arguments, background cache guidance generalized to worker threads, and a reporter’s apparent incompatibility upgraded to a known incompatibility. Requested details were also omitted. This is AI team regression review on familiar questions, not an unseen, blinded, or human benchmark. Human ratings remain blank.</w:t>
      </w:r>
    </w:p>
    <w:p>
      <w:pPr>
        <w:pStyle w:val="Heading2"/>
      </w:pPr>
      <w:r>
        <w:t>What earlier review changed</w:t>
      </w:r>
    </w:p>
    <w:p>
      <w:r>
        <w:t>The earlier support audit iteration generated answers for 11/14 evidence cases, passed expected behavior on 18/20, and recorded evidence case backend p95 of 24.90 seconds. Its separate AI reviewer judged 26/30 retained claims fully supported. Unsupported HTML guidance, causal wording, attribution gaps, and omissions motivated further changes. The new configuration still misses the quality and latency targets; dropping unsupported claims can leave incomplete answers.</w:t>
      </w:r>
    </w:p>
    <w:p>
      <w:r>
        <w:rPr>
          <w:sz w:val="20"/>
        </w:rPr>
        <w:t>The current frozen raw workflow report is evaluation/workflow-results/raw-report.json, SHA 256 827db28bfe99f0d42eecd84bcaebf70c4ba1bab21a3f206a99e20c1a5d8dd6cb. A later handoff policy fix was tested separately; it does not rewrite this run. These small AI authored and AI reviewed sets are diagnostic, not a human benchmark or an external blinded test.</w:t>
      </w:r>
    </w:p>
    <w:p>
      <w:r>
        <w:br w:type="page"/>
      </w:r>
    </w:p>
    <w:p>
      <w:pPr>
        <w:pStyle w:val="Heading1"/>
      </w:pPr>
      <w:r>
        <w:t>Limits and course expansion</w:t>
      </w:r>
    </w:p>
    <w:p>
      <w:r>
        <w:t>This project can grow around one engineering investigation workflow throughout the course. New functionality should preserve source provenance, version qualifications, explicit missing evidence, and reviewable actions. Each future handout must be checked before a course theme is treated as a required deliverable.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520"/>
        <w:gridCol w:w="7560"/>
      </w:tblGrid>
      <w:tr>
        <w:trPr>
          <w:tblHeader/>
        </w:trPr>
        <w:tc>
          <w:tcPr>
            <w:tcW w:type="dxa" w:w="2520"/>
            <w:vAlign w:val="center"/>
            <w:shd w:fill="EEEEEE"/>
          </w:tcPr>
          <w:p>
            <w:pPr>
              <w:spacing w:after="0" w:line="250" w:lineRule="auto"/>
            </w:pPr>
            <w:r>
              <w:rPr>
                <w:b/>
                <w:color w:val="000000"/>
                <w:sz w:val="19"/>
              </w:rPr>
              <w:t>Course theme</w:t>
            </w:r>
          </w:p>
        </w:tc>
        <w:tc>
          <w:tcPr>
            <w:tcW w:type="dxa" w:w="7560"/>
            <w:vAlign w:val="center"/>
            <w:shd w:fill="EEEEEE"/>
          </w:tcPr>
          <w:p>
            <w:pPr>
              <w:spacing w:after="0" w:line="250" w:lineRule="auto"/>
            </w:pPr>
            <w:r>
              <w:rPr>
                <w:b/>
                <w:color w:val="000000"/>
                <w:sz w:val="19"/>
              </w:rPr>
              <w:t>Next extension of this project</w:t>
            </w:r>
          </w:p>
        </w:tc>
      </w:tr>
      <w:tr>
        <w:tc>
          <w:tcPr>
            <w:tcW w:type="dxa" w:w="2520"/>
            <w:vAlign w:val="center"/>
          </w:tcPr>
          <w:p>
            <w:pPr>
              <w:spacing w:after="0" w:line="250" w:lineRule="auto"/>
            </w:pPr>
            <w:r>
              <w:rPr>
                <w:b w:val="0"/>
                <w:color w:val="000000"/>
                <w:sz w:val="19"/>
              </w:rPr>
              <w:t>Week 3 tools and agents</w:t>
            </w:r>
          </w:p>
        </w:tc>
        <w:tc>
          <w:tcPr>
            <w:tcW w:type="dxa" w:w="7560"/>
            <w:vAlign w:val="center"/>
          </w:tcPr>
          <w:p>
            <w:pPr>
              <w:spacing w:after="0" w:line="250" w:lineRule="auto"/>
            </w:pPr>
            <w:r>
              <w:rPr>
                <w:b w:val="0"/>
                <w:color w:val="000000"/>
                <w:sz w:val="19"/>
              </w:rPr>
              <w:t>Read only repository and environment metadata tools; MCP integration; reproduction checklist preparation</w:t>
            </w:r>
          </w:p>
        </w:tc>
      </w:tr>
      <w:tr>
        <w:tc>
          <w:tcPr>
            <w:tcW w:type="dxa" w:w="2520"/>
            <w:vAlign w:val="center"/>
          </w:tcPr>
          <w:p>
            <w:pPr>
              <w:spacing w:after="0" w:line="250" w:lineRule="auto"/>
            </w:pPr>
            <w:r>
              <w:rPr>
                <w:b w:val="0"/>
                <w:color w:val="000000"/>
                <w:sz w:val="19"/>
              </w:rPr>
              <w:t>Week 4 evaluation</w:t>
            </w:r>
          </w:p>
        </w:tc>
        <w:tc>
          <w:tcPr>
            <w:tcW w:type="dxa" w:w="7560"/>
            <w:vAlign w:val="center"/>
          </w:tcPr>
          <w:p>
            <w:pPr>
              <w:spacing w:after="0" w:line="250" w:lineRule="auto"/>
            </w:pPr>
            <w:r>
              <w:rPr>
                <w:b w:val="0"/>
                <w:color w:val="000000"/>
                <w:sz w:val="19"/>
              </w:rPr>
              <w:t>New frozen cases, human claim review, stage traces, failure taxonomy, usage and UI latency monitoring</w:t>
            </w:r>
          </w:p>
        </w:tc>
      </w:tr>
      <w:tr>
        <w:tc>
          <w:tcPr>
            <w:tcW w:type="dxa" w:w="2520"/>
            <w:vAlign w:val="center"/>
          </w:tcPr>
          <w:p>
            <w:pPr>
              <w:spacing w:after="0" w:line="250" w:lineRule="auto"/>
            </w:pPr>
            <w:r>
              <w:rPr>
                <w:b w:val="0"/>
                <w:color w:val="000000"/>
                <w:sz w:val="19"/>
              </w:rPr>
              <w:t>Week 5 local models</w:t>
            </w:r>
          </w:p>
        </w:tc>
        <w:tc>
          <w:tcPr>
            <w:tcW w:type="dxa" w:w="7560"/>
            <w:vAlign w:val="center"/>
          </w:tcPr>
          <w:p>
            <w:pPr>
              <w:spacing w:after="0" w:line="250" w:lineRule="auto"/>
            </w:pPr>
            <w:r>
              <w:rPr>
                <w:b w:val="0"/>
                <w:color w:val="000000"/>
                <w:sz w:val="19"/>
              </w:rPr>
              <w:t>Compare local response models; routing or component classification from reviewed issue labels</w:t>
            </w:r>
          </w:p>
        </w:tc>
      </w:tr>
      <w:tr>
        <w:tc>
          <w:tcPr>
            <w:tcW w:type="dxa" w:w="2520"/>
            <w:vAlign w:val="center"/>
          </w:tcPr>
          <w:p>
            <w:pPr>
              <w:spacing w:after="0" w:line="250" w:lineRule="auto"/>
            </w:pPr>
            <w:r>
              <w:rPr>
                <w:b w:val="0"/>
                <w:color w:val="000000"/>
                <w:sz w:val="19"/>
              </w:rPr>
              <w:t>Week 6 production and safety</w:t>
            </w:r>
          </w:p>
        </w:tc>
        <w:tc>
          <w:tcPr>
            <w:tcW w:type="dxa" w:w="7560"/>
            <w:vAlign w:val="center"/>
          </w:tcPr>
          <w:p>
            <w:pPr>
              <w:spacing w:after="0" w:line="250" w:lineRule="auto"/>
            </w:pPr>
            <w:r>
              <w:rPr>
                <w:b w:val="0"/>
                <w:color w:val="000000"/>
                <w:sz w:val="19"/>
              </w:rPr>
              <w:t>Source isolation, secret handling, injection tests, action permissions, rate and cost controls</w:t>
            </w:r>
          </w:p>
        </w:tc>
      </w:tr>
    </w:tbl>
    <w:p>
      <w:pPr>
        <w:spacing w:after="40"/>
      </w:pPr>
      <w:r>
        <w:rPr>
          <w:sz w:val="6"/>
        </w:rPr>
      </w:r>
    </w:p>
    <w:p>
      <w:pPr>
        <w:pStyle w:val="Heading2"/>
      </w:pPr>
      <w:r>
        <w:t>Practical limits and next decisions</w:t>
      </w:r>
    </w:p>
    <w:p>
      <w:r>
        <w:t>The corpus is small, English only, pinned, and intentionally incomplete. A missing release entry does not prove no fix exists. The app has no local machine access and cannot confirm a personal root cause. Issue reports can be mistaken or version specific. Manual refresh and version pin review remain necessary; the UI warns when snapshots are at least seven days old.</w:t>
      </w:r>
    </w:p>
    <w:p>
      <w:r>
        <w:t>Next I would review current retained claims and omitted question parts with a person, add genuinely fresh cases before further tuning, and measure submission to visible answer latency in the UI. Reranking and graph augmentation should remain optional until controlled comparisons demonstrate benefit. For future classifier training, historical labels need review, time and issue family splits, and removal of label leakage.</w:t>
      </w:r>
    </w:p>
    <w:p>
      <w:pPr>
        <w:pStyle w:val="Heading2"/>
      </w:pPr>
      <w:r>
        <w:t>Reproducible project assets</w:t>
      </w:r>
    </w:p>
    <w:p>
      <w:r>
        <w:t>README.md provides setup and launch steps. data/sources.json and data/manifest.json preserve the 65 record snapshot; scripts/fetch_corpus.py reproduces the bounded fetch. triage_desk/ contains retrieval, graph, workflow, generation, and provider adapters. tests/ provides automated behavior and contract checks, distinct from generated answer quality review. docs/ASSIGNMENT.md contains the fuller requirement mapping and demo script.</w:t>
      </w:r>
    </w:p>
    <w:p>
      <w:r>
        <w:t>For a five minute demo, I would show one documentation answer and its exact support, one attributed public issue report, a missing details request and draft, the workflow trace and optional graph, and one measured failure. Evidence mode remains usable without generation credentials after the local models and index are prepared. The report, project access, video, and form submission are separate deliverables; a local test does not prove they have been submitted.</w:t>
      </w:r>
    </w:p>
    <w:p>
      <w:pPr>
        <w:pStyle w:val="Heading2"/>
      </w:pPr>
      <w:r>
        <w:t>References and result locations</w:t>
      </w:r>
    </w:p>
    <w:p>
      <w:r>
        <w:t xml:space="preserve">Course examples: </w:t>
      </w:r>
      <w:hyperlink r:id="rId11">
        <w:r>
          <w:rPr>
            <w:color w:val="000000"/>
            <w:u w:val="single"/>
          </w:rPr>
          <w:t>Enterprise Q and A</w:t>
        </w:r>
      </w:hyperlink>
      <w:r>
        <w:t xml:space="preserve">  ·  </w:t>
      </w:r>
      <w:hyperlink r:id="rId12">
        <w:r>
          <w:rPr>
            <w:color w:val="000000"/>
            <w:u w:val="single"/>
          </w:rPr>
          <w:t>Financial Intelligence</w:t>
        </w:r>
      </w:hyperlink>
      <w:r>
        <w:t xml:space="preserve">  ·  </w:t>
      </w:r>
      <w:hyperlink r:id="rId13">
        <w:r>
          <w:rPr>
            <w:color w:val="000000"/>
            <w:u w:val="single"/>
          </w:rPr>
          <w:t>Graph RAG</w:t>
        </w:r>
      </w:hyperlink>
      <w:r>
        <w:t xml:space="preserve">  ·  </w:t>
      </w:r>
      <w:hyperlink r:id="rId14">
        <w:r>
          <w:rPr>
            <w:color w:val="000000"/>
            <w:u w:val="single"/>
          </w:rPr>
          <w:t>Support Knowledge Base</w:t>
        </w:r>
      </w:hyperlink>
    </w:p>
    <w:p>
      <w:r>
        <w:t xml:space="preserve">Primary interfaces: </w:t>
      </w:r>
      <w:hyperlink r:id="rId15">
        <w:r>
          <w:rPr>
            <w:color w:val="000000"/>
            <w:u w:val="single"/>
          </w:rPr>
          <w:t>LangGraph</w:t>
        </w:r>
      </w:hyperlink>
      <w:r>
        <w:t xml:space="preserve">  ·  </w:t>
      </w:r>
      <w:hyperlink r:id="rId16">
        <w:r>
          <w:rPr>
            <w:color w:val="000000"/>
            <w:u w:val="single"/>
          </w:rPr>
          <w:t>LangChain Document</w:t>
        </w:r>
      </w:hyperlink>
      <w:r>
        <w:t xml:space="preserve">  ·  </w:t>
      </w:r>
      <w:hyperlink r:id="rId17">
        <w:r>
          <w:rPr>
            <w:color w:val="000000"/>
            <w:u w:val="single"/>
          </w:rPr>
          <w:t>NetworkX</w:t>
        </w:r>
      </w:hyperlink>
      <w:r>
        <w:t xml:space="preserve">  ·  </w:t>
      </w:r>
      <w:hyperlink r:id="rId18">
        <w:r>
          <w:rPr>
            <w:color w:val="000000"/>
            <w:u w:val="single"/>
          </w:rPr>
          <w:t>FlashRank</w:t>
        </w:r>
      </w:hyperlink>
      <w:r>
        <w:t xml:space="preserve">  ·  </w:t>
      </w:r>
      <w:hyperlink r:id="rId19">
        <w:r>
          <w:rPr>
            <w:color w:val="000000"/>
            <w:u w:val="single"/>
          </w:rPr>
          <w:t>FastEmbed</w:t>
        </w:r>
      </w:hyperlink>
    </w:p>
    <w:p>
      <w:r>
        <w:rPr>
          <w:sz w:val="20"/>
        </w:rPr>
        <w:t>Result files: evaluation/retrieval-lab-results/report.json and report.html; evaluation/workflow-results/report.json and report.html; historical evaluation/validation-results/raw-report.json and ai-review.json. All numbers in this report describe their named run, with no borrowed reference solution scores.</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Week 2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Engineering Issue Desk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The-Gen-Academy/2A-Enterprise-QandA-Bot" TargetMode="External"/><Relationship Id="rId12" Type="http://schemas.openxmlformats.org/officeDocument/2006/relationships/hyperlink" Target="https://github.com/The-Gen-Academy/2B-Financial-Document-Intelligence-Pipeline" TargetMode="External"/><Relationship Id="rId13" Type="http://schemas.openxmlformats.org/officeDocument/2006/relationships/hyperlink" Target="https://github.com/The-Gen-Academy/2C-Graph-RAG-for-Organizational-Knowledge" TargetMode="External"/><Relationship Id="rId14" Type="http://schemas.openxmlformats.org/officeDocument/2006/relationships/hyperlink" Target="https://github.com/The-Gen-Academy/2D-Customer-Support-KB-with-Hybrid-Search" TargetMode="External"/><Relationship Id="rId15" Type="http://schemas.openxmlformats.org/officeDocument/2006/relationships/hyperlink" Target="https://docs.langchain.com/oss/python/langgraph/graph-api" TargetMode="External"/><Relationship Id="rId16" Type="http://schemas.openxmlformats.org/officeDocument/2006/relationships/hyperlink" Target="https://reference.langchain.com/python/langchain-core/documents/base/Document" TargetMode="External"/><Relationship Id="rId17" Type="http://schemas.openxmlformats.org/officeDocument/2006/relationships/hyperlink" Target="https://networkx.org/documentation/stable/reference/classes/multidigraph.html" TargetMode="External"/><Relationship Id="rId18" Type="http://schemas.openxmlformats.org/officeDocument/2006/relationships/hyperlink" Target="https://github.com/PrithivirajDamodaran/FlashRank" TargetMode="External"/><Relationship Id="rId19" Type="http://schemas.openxmlformats.org/officeDocument/2006/relationships/hyperlink" Target="https://github.com/qdrant/fastemb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Issue Desk Week 2 Project Report</dc:title>
  <dc:subject>Course project scope architecture prompts evaluation and expansion</dc:subject>
  <dc:creator>Engineering Issue Desk project</dc:creator>
  <cp:keywords>Week 2 RAG Streamlit LangGraph evidence evaluation</cp:keywords>
  <dc:description>generated by python-docx</dc:description>
  <cp:lastModifiedBy/>
  <cp:revision>1</cp:revision>
  <dcterms:created xsi:type="dcterms:W3CDTF">2013-12-23T23:15:00Z</dcterms:created>
  <dcterms:modified xsi:type="dcterms:W3CDTF">2013-12-23T23:15:00Z</dcterms:modified>
  <cp:category/>
</cp:coreProperties>
</file>