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ACMECloud Incident Management Policy</w:t>
      </w:r>
    </w:p>
    <w:p>
      <w:r>
        <w:t>Document ID: POL-INC-001 | Version: 2.1 | Owner: Platform SRE</w:t>
      </w:r>
    </w:p>
    <w:p>
      <w:pPr>
        <w:pStyle w:val="Heading1"/>
      </w:pPr>
      <w:r>
        <w:t>Incident priorities</w:t>
      </w:r>
    </w:p>
    <w:p>
      <w:r>
        <w:t>Sev1 incidents require immediate incident-command activation. The initial acknowledgment target is 15 minutes.</w:t>
      </w:r>
    </w:p>
    <w:p>
      <w:r>
        <w:t>Sev2 incidents require Platform SRE engagement and a customer-impact assessment.</w:t>
      </w:r>
    </w:p>
    <w:p>
      <w:pPr>
        <w:pStyle w:val="Heading1"/>
      </w:pPr>
      <w:r>
        <w:t>Communication</w:t>
      </w:r>
    </w:p>
    <w:p>
      <w:r>
        <w:t>For Sev1 incidents, post updates every 30 minutes until service is stable. The Incident Commander owns the update cadence.</w:t>
      </w:r>
    </w:p>
    <w:p>
      <w:pPr>
        <w:pStyle w:val="Heading1"/>
      </w:pPr>
      <w:r>
        <w:t>Post-incident</w:t>
      </w:r>
    </w:p>
    <w:p>
      <w:r>
        <w:t>A root-cause analysis is required for Sev1 and recurring Sev2 incidents. Corrective actions must have an owner and due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