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4.png" ContentType="image/png"/>
  <Override PartName="/word/media/rId31.png" ContentType="image/png"/>
  <Override PartName="/word/media/rId34.png" ContentType="image/png"/>
  <Override PartName="/word/media/rId39.png" ContentType="image/png"/>
  <Override PartName="/word/media/rId35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X5e9c5b75db381873e0922911295fddb18ecffca"/>
    <w:p>
      <w:pPr>
        <w:pStyle w:val="Heading1"/>
      </w:pPr>
      <w:r>
        <w:t xml:space="preserve">Disease Progression and Multimorbidity Trajectory Prediction</w:t>
      </w:r>
    </w:p>
    <w:p>
      <w:pPr>
        <w:pStyle w:val="FirstParagraph"/>
      </w:pPr>
      <w:r>
        <w:rPr>
          <w:bCs/>
          <w:b/>
        </w:rPr>
        <w:t xml:space="preserve">Final Project Report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project developed a reproducible machine learning workflow for predicting</w:t>
      </w:r>
      <w:r>
        <w:t xml:space="preserve"> </w:t>
      </w:r>
      <w:r>
        <w:t xml:space="preserve">disease progression and multimorbidity risk using synthetic electronic health</w:t>
      </w:r>
      <w:r>
        <w:t xml:space="preserve"> </w:t>
      </w:r>
      <w:r>
        <w:t xml:space="preserve">record (EHR) data from 2018 to 2024. Predictors use records through 2021-12-31;</w:t>
      </w:r>
      <w:r>
        <w:t xml:space="preserve"> </w:t>
      </w:r>
      <w:r>
        <w:t xml:space="preserve">future outcomes cover 2022-01-01 through 2024-12-31.</w:t>
      </w:r>
    </w:p>
    <w:p>
      <w:pPr>
        <w:pStyle w:val="BodyText"/>
      </w:pPr>
      <w:r>
        <w:t xml:space="preserve">The final feature table contains</w:t>
      </w:r>
      <w:r>
        <w:t xml:space="preserve"> </w:t>
      </w:r>
      <w:r>
        <w:rPr>
          <w:bCs/>
          <w:b/>
        </w:rPr>
        <w:t xml:space="preserve">100,000 patients and 99 columns</w:t>
      </w:r>
      <w:r>
        <w:t xml:space="preserve">. Across five</w:t>
      </w:r>
      <w:r>
        <w:t xml:space="preserve"> </w:t>
      </w:r>
      <w:r>
        <w:t xml:space="preserve">model families (a majority-class baseline, logistic regression, random forest,</w:t>
      </w:r>
      <w:r>
        <w:t xml:space="preserve"> </w:t>
      </w:r>
      <w:r>
        <w:t xml:space="preserve">XGBoost, and LightGBM), gradient boosting performed best on both targets: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Future hospitalization</w:t>
      </w:r>
      <w:r>
        <w:t xml:space="preserve">: XGBoost, ROC-AUC</w:t>
      </w:r>
      <w:r>
        <w:t xml:space="preserve"> </w:t>
      </w:r>
      <w:r>
        <w:rPr>
          <w:bCs/>
          <w:b/>
        </w:rPr>
        <w:t xml:space="preserve">0.694</w:t>
      </w:r>
      <w:r>
        <w:t xml:space="preserve"> </w:t>
      </w:r>
      <w:r>
        <w:t xml:space="preserve">(logistic regression a</w:t>
      </w:r>
      <w:r>
        <w:t xml:space="preserve"> </w:t>
      </w:r>
      <w:r>
        <w:t xml:space="preserve">close baseline at 0.686). This target is highly imbalanced (4.55% positive).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Multimorbidity progression</w:t>
      </w:r>
      <w:r>
        <w:t xml:space="preserve">: XGBoost, ROC-AUC</w:t>
      </w:r>
      <w:r>
        <w:t xml:space="preserve"> </w:t>
      </w:r>
      <w:r>
        <w:rPr>
          <w:bCs/>
          <w:b/>
        </w:rPr>
        <w:t xml:space="preserve">0.865</w:t>
      </w:r>
      <w:r>
        <w:t xml:space="preserve">, F1</w:t>
      </w:r>
      <w:r>
        <w:t xml:space="preserve"> </w:t>
      </w:r>
      <w:r>
        <w:rPr>
          <w:bCs/>
          <w:b/>
        </w:rPr>
        <w:t xml:space="preserve">0.774</w:t>
      </w:r>
      <w:r>
        <w:t xml:space="preserve">, on the</w:t>
      </w:r>
      <w:r>
        <w:t xml:space="preserve"> </w:t>
      </w:r>
      <w:r>
        <w:t xml:space="preserve">at-risk cohort of 41,654 patients who begin with fewer than two conditions.</w:t>
      </w:r>
    </w:p>
    <w:p>
      <w:pPr>
        <w:pStyle w:val="FirstParagraph"/>
      </w:pPr>
      <w:r>
        <w:t xml:space="preserve">Beyond ranking models, the project adds calibration and threshold analysis, SHAP</w:t>
      </w:r>
      <w:r>
        <w:t xml:space="preserve"> </w:t>
      </w:r>
      <w:r>
        <w:t xml:space="preserve">explainability, and a Kaplan-Meier / Cox survival analysis of time to</w:t>
      </w:r>
      <w:r>
        <w:t xml:space="preserve"> </w:t>
      </w:r>
      <w:r>
        <w:t xml:space="preserve">multimorbidity progression.</w:t>
      </w:r>
    </w:p>
    <w:bookmarkEnd w:id="20"/>
    <w:bookmarkStart w:id="21" w:name="introduction-and-motivation"/>
    <w:p>
      <w:pPr>
        <w:pStyle w:val="Heading2"/>
      </w:pPr>
      <w:r>
        <w:t xml:space="preserve">1. Introduction and Motivation</w:t>
      </w:r>
    </w:p>
    <w:p>
      <w:pPr>
        <w:pStyle w:val="FirstParagraph"/>
      </w:pPr>
      <w:r>
        <w:t xml:space="preserve">Healthcare teams need earlier signals of patients who may progress into</w:t>
      </w:r>
      <w:r>
        <w:t xml:space="preserve"> </w:t>
      </w:r>
      <w:r>
        <w:t xml:space="preserve">multimorbidity or require future hospital care, so that limited follow-up</w:t>
      </w:r>
      <w:r>
        <w:t xml:space="preserve"> </w:t>
      </w:r>
      <w:r>
        <w:t xml:space="preserve">capacity can be directed where it matters most. This project asks whether</w:t>
      </w:r>
      <w:r>
        <w:t xml:space="preserve"> </w:t>
      </w:r>
      <w:r>
        <w:t xml:space="preserve">patient demographics, baseline diagnoses, laboratory history, medication history,</w:t>
      </w:r>
      <w:r>
        <w:t xml:space="preserve"> </w:t>
      </w:r>
      <w:r>
        <w:t xml:space="preserve">and prior hospitalization patterns — all known at a fixed cutoff — can predict:</w:t>
      </w:r>
    </w:p>
    <w:p>
      <w:pPr>
        <w:numPr>
          <w:ilvl w:val="0"/>
          <w:numId w:val="1002"/>
        </w:numPr>
        <w:pStyle w:val="Compact"/>
      </w:pPr>
      <w:r>
        <w:t xml:space="preserve">future hospitalization risk (2022–2024),</w:t>
      </w:r>
    </w:p>
    <w:p>
      <w:pPr>
        <w:numPr>
          <w:ilvl w:val="0"/>
          <w:numId w:val="1002"/>
        </w:numPr>
        <w:pStyle w:val="Compact"/>
      </w:pPr>
      <w:r>
        <w:t xml:space="preserve">future ICU admission risk,</w:t>
      </w:r>
    </w:p>
    <w:p>
      <w:pPr>
        <w:numPr>
          <w:ilvl w:val="0"/>
          <w:numId w:val="1002"/>
        </w:numPr>
        <w:pStyle w:val="Compact"/>
      </w:pPr>
      <w:r>
        <w:t xml:space="preserve">future 30-day readmission risk, and</w:t>
      </w:r>
    </w:p>
    <w:p>
      <w:pPr>
        <w:numPr>
          <w:ilvl w:val="0"/>
          <w:numId w:val="1002"/>
        </w:numPr>
        <w:pStyle w:val="Compact"/>
      </w:pPr>
      <w:r>
        <w:t xml:space="preserve">progression into multimorbidity among patients with fewer than two baseline</w:t>
      </w:r>
      <w:r>
        <w:t xml:space="preserve"> </w:t>
      </w:r>
      <w:r>
        <w:t xml:space="preserve">conditions.</w:t>
      </w:r>
    </w:p>
    <w:bookmarkEnd w:id="21"/>
    <w:bookmarkStart w:id="22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t xml:space="preserve">Multimorbidity risk stratification and hospital utilization prediction are</w:t>
      </w:r>
      <w:r>
        <w:t xml:space="preserve"> </w:t>
      </w:r>
      <w:r>
        <w:t xml:space="preserve">established areas in clinical machine learning. Comorbidity indices such as the</w:t>
      </w:r>
      <w:r>
        <w:t xml:space="preserve"> </w:t>
      </w:r>
      <w:r>
        <w:t xml:space="preserve">Charlson index summarize disease burden, and gradient-boosted trees and</w:t>
      </w:r>
      <w:r>
        <w:t xml:space="preserve"> </w:t>
      </w:r>
      <w:r>
        <w:t xml:space="preserve">regularized logistic regression are common, strong baselines for tabular EHR</w:t>
      </w:r>
      <w:r>
        <w:t xml:space="preserve"> </w:t>
      </w:r>
      <w:r>
        <w:t xml:space="preserve">prediction. Time-to-event methods (Kaplan-Meier estimation and Cox proportional</w:t>
      </w:r>
      <w:r>
        <w:t xml:space="preserve"> </w:t>
      </w:r>
      <w:r>
        <w:t xml:space="preserve">hazards regression) are the standard tools for modeling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an event occurs</w:t>
      </w:r>
      <w:r>
        <w:t xml:space="preserve"> </w:t>
      </w:r>
      <w:r>
        <w:t xml:space="preserve">rather than only whether it occurs. This project follows these conventions on a</w:t>
      </w:r>
      <w:r>
        <w:t xml:space="preserve"> </w:t>
      </w:r>
      <w:r>
        <w:t xml:space="preserve">synthetic dataset that mimics the structure of real EHR extracts.</w:t>
      </w:r>
    </w:p>
    <w:bookmarkEnd w:id="22"/>
    <w:bookmarkStart w:id="25" w:name="Xf261e62c8e3b015465db9cc5e1586501b93c805"/>
    <w:p>
      <w:pPr>
        <w:pStyle w:val="Heading2"/>
      </w:pPr>
      <w:r>
        <w:t xml:space="preserve">3. Data Description and Exploratory Analysis</w:t>
      </w:r>
    </w:p>
    <w:p>
      <w:pPr>
        <w:pStyle w:val="FirstParagraph"/>
      </w:pPr>
      <w:r>
        <w:t xml:space="preserve">The synthetic dataset comprises five linked tables — patients, diagnoses,</w:t>
      </w:r>
      <w:r>
        <w:t xml:space="preserve"> </w:t>
      </w:r>
      <w:r>
        <w:t xml:space="preserve">laboratory results, medications, and hospital outcomes — keyed by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.</w:t>
      </w:r>
      <w:r>
        <w:t xml:space="preserve"> </w:t>
      </w:r>
      <w:r>
        <w:t xml:space="preserve">Exploratory analysis characterized the baseline condition burden (mean 1.87</w:t>
      </w:r>
      <w:r>
        <w:t xml:space="preserve"> </w:t>
      </w:r>
      <w:r>
        <w:t xml:space="preserve">distinct conditions per patient), the most common conditions and their</w:t>
      </w:r>
      <w:r>
        <w:t xml:space="preserve"> </w:t>
      </w:r>
      <w:r>
        <w:t xml:space="preserve">co-occurrence, and condition trajectories over time.</w:t>
      </w:r>
    </w:p>
    <w:p>
      <w:pPr>
        <w:pStyle w:val="CaptionedFigure"/>
      </w:pPr>
      <w:r>
        <w:drawing>
          <wp:inline>
            <wp:extent cx="5334000" cy="3273033"/>
            <wp:effectExtent b="0" l="0" r="0" t="0"/>
            <wp:docPr descr="Baseline condition count per patient" title="" id="1" name="Picture"/>
            <a:graphic>
              <a:graphicData uri="http://schemas.openxmlformats.org/drawingml/2006/picture">
                <pic:pic>
                  <pic:nvPicPr>
                    <pic:cNvPr descr="../figures/03_baseline_condition_cou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3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Baseline condition count per patient</w:t>
      </w:r>
    </w:p>
    <w:p>
      <w:pPr>
        <w:pStyle w:val="CaptionedFigure"/>
      </w:pPr>
      <w:r>
        <w:drawing>
          <wp:inline>
            <wp:extent cx="5334000" cy="3957337"/>
            <wp:effectExtent b="0" l="0" r="0" t="0"/>
            <wp:docPr descr="Top diagnosis conditions" title="" id="1" name="Picture"/>
            <a:graphic>
              <a:graphicData uri="http://schemas.openxmlformats.org/drawingml/2006/picture">
                <pic:pic>
                  <pic:nvPicPr>
                    <pic:cNvPr descr="../figures/04_top_condi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7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diagnosis conditions</w:t>
      </w:r>
    </w:p>
    <w:p>
      <w:pPr>
        <w:pStyle w:val="BodyText"/>
      </w:pPr>
      <w:r>
        <w:t xml:space="preserve">Observed outcome rates in the modeling dataset: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p>
            <w:pPr>
              <w:pStyle w:val="Compact"/>
              <w:jc w:val="left"/>
            </w:pPr>
            <w:r>
              <w:t xml:space="preserve">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Future hospitalization</w:t>
            </w:r>
          </w:p>
        </w:tc>
        <w:tc>
          <w:p>
            <w:pPr>
              <w:pStyle w:val="Compact"/>
              <w:jc w:val="left"/>
            </w:pPr>
            <w:r>
              <w:t xml:space="preserve">4.55%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Future ICU admission</w:t>
            </w:r>
          </w:p>
        </w:tc>
        <w:tc>
          <w:p>
            <w:pPr>
              <w:pStyle w:val="Compact"/>
              <w:jc w:val="left"/>
            </w:pPr>
            <w:r>
              <w:t xml:space="preserve">0.10%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Future 30-day readmission</w:t>
            </w:r>
          </w:p>
        </w:tc>
        <w:tc>
          <w:p>
            <w:pPr>
              <w:pStyle w:val="Compact"/>
              <w:jc w:val="left"/>
            </w:pPr>
            <w:r>
              <w:t xml:space="preserve">0.68%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Multimorbidity progression</w:t>
            </w:r>
          </w:p>
        </w:tc>
        <w:tc>
          <w:p>
            <w:pPr>
              <w:pStyle w:val="Compact"/>
              <w:jc w:val="left"/>
            </w:pPr>
            <w:r>
              <w:t xml:space="preserve">18.11%</w:t>
            </w:r>
          </w:p>
        </w:tc>
      </w:tr>
    </w:tbl>
    <w:bookmarkEnd w:id="25"/>
    <w:bookmarkStart w:id="27" w:name="X7ffc0406674efda24f522c0520f6ec77d6c2262"/>
    <w:p>
      <w:pPr>
        <w:pStyle w:val="Heading2"/>
      </w:pPr>
      <w:r>
        <w:t xml:space="preserve">4. Data Pre-processing and Feature Engineering</w:t>
      </w:r>
    </w:p>
    <w:p>
      <w:pPr>
        <w:pStyle w:val="FirstParagraph"/>
      </w:pPr>
      <w:r>
        <w:t xml:space="preserve">Raw tables were cleaned with type coercion, date parsing, and clinical range</w:t>
      </w:r>
      <w:r>
        <w:t xml:space="preserve"> </w:t>
      </w:r>
      <w:r>
        <w:t xml:space="preserve">checks (e.g. implausible ages or blood pressures set to missing rather than</w:t>
      </w:r>
      <w:r>
        <w:t xml:space="preserve"> </w:t>
      </w:r>
      <w:r>
        <w:t xml:space="preserve">modeled). Diagnosis records were exploded into a tidy condition-event table</w:t>
      </w:r>
      <w:r>
        <w:t xml:space="preserve"> </w:t>
      </w:r>
      <w:r>
        <w:t xml:space="preserve">combining primary and secondary diagnoses.</w:t>
      </w:r>
    </w:p>
    <w:p>
      <w:pPr>
        <w:pStyle w:val="BodyText"/>
      </w:pPr>
      <w:r>
        <w:t xml:space="preserve">Features are engineered</w:t>
      </w:r>
      <w:r>
        <w:t xml:space="preserve"> </w:t>
      </w:r>
      <w:r>
        <w:rPr>
          <w:bCs/>
          <w:b/>
        </w:rPr>
        <w:t xml:space="preserve">per patient using only events on or before the</w:t>
      </w:r>
      <w:r>
        <w:rPr>
          <w:bCs/>
          <w:b/>
        </w:rPr>
        <w:t xml:space="preserve"> </w:t>
      </w:r>
      <w:r>
        <w:rPr>
          <w:bCs/>
          <w:b/>
        </w:rPr>
        <w:t xml:space="preserve">2021-12-31 cutoff</w:t>
      </w:r>
      <w:r>
        <w:t xml:space="preserve">: baseline condition counts and one-hot condition flags, visit</w:t>
      </w:r>
      <w:r>
        <w:t xml:space="preserve"> </w:t>
      </w:r>
      <w:r>
        <w:t xml:space="preserve">and specialty counts, laboratory summaries (counts, abnormal rates, and per-test</w:t>
      </w:r>
      <w:r>
        <w:t xml:space="preserve"> </w:t>
      </w:r>
      <w:r>
        <w:t xml:space="preserve">mean/max values), medication summaries (counts, adherence, duration, indications),</w:t>
      </w:r>
      <w:r>
        <w:t xml:space="preserve"> </w:t>
      </w:r>
      <w:r>
        <w:t xml:space="preserve">and prior hospitalization statistics.</w:t>
      </w:r>
    </w:p>
    <w:bookmarkStart w:id="26" w:name="leakage-aware-design"/>
    <w:p>
      <w:pPr>
        <w:pStyle w:val="Heading3"/>
      </w:pPr>
      <w:r>
        <w:t xml:space="preserve">Leakage-aware design</w:t>
      </w:r>
    </w:p>
    <w:p>
      <w:pPr>
        <w:numPr>
          <w:ilvl w:val="0"/>
          <w:numId w:val="1003"/>
        </w:numPr>
        <w:pStyle w:val="Compact"/>
      </w:pPr>
      <w:r>
        <w:t xml:space="preserve">Predictors are derived strictly from pre-cutoff dated events.</w:t>
      </w:r>
    </w:p>
    <w:p>
      <w:pPr>
        <w:numPr>
          <w:ilvl w:val="0"/>
          <w:numId w:val="1003"/>
        </w:numPr>
        <w:pStyle w:val="Compact"/>
      </w:pPr>
      <w:r>
        <w:t xml:space="preserve">The patient-level all-time</w:t>
      </w:r>
      <w:r>
        <w:t xml:space="preserve"> </w:t>
      </w:r>
      <w:r>
        <w:rPr>
          <w:rStyle w:val="VerbatimChar"/>
        </w:rPr>
        <w:t xml:space="preserve">dx_*</w:t>
      </w:r>
      <w:r>
        <w:t xml:space="preserve"> </w:t>
      </w:r>
      <w:r>
        <w:t xml:space="preserve">columns are dropped, because they may encode</w:t>
      </w:r>
      <w:r>
        <w:t xml:space="preserve"> </w:t>
      </w:r>
      <w:r>
        <w:t xml:space="preserve">diagnoses made after the cutoff.</w:t>
      </w:r>
    </w:p>
    <w:p>
      <w:pPr>
        <w:numPr>
          <w:ilvl w:val="0"/>
          <w:numId w:val="1003"/>
        </w:numPr>
        <w:pStyle w:val="Compact"/>
      </w:pPr>
      <w:r>
        <w:t xml:space="preserve">All target columns are excluded from the model matrix by</w:t>
      </w:r>
      <w:r>
        <w:t xml:space="preserve"> </w:t>
      </w:r>
      <w:r>
        <w:rPr>
          <w:rStyle w:val="VerbatimChar"/>
        </w:rPr>
        <w:t xml:space="preserve">get_modeling_matrices</w:t>
      </w:r>
      <w:r>
        <w:t xml:space="preserve">, which is enforced by automated tests.</w:t>
      </w:r>
    </w:p>
    <w:bookmarkEnd w:id="26"/>
    <w:bookmarkEnd w:id="27"/>
    <w:bookmarkStart w:id="28" w:name="technical-approach"/>
    <w:p>
      <w:pPr>
        <w:pStyle w:val="Heading2"/>
      </w:pPr>
      <w:r>
        <w:t xml:space="preserve">5. Technical Approach</w:t>
      </w:r>
    </w:p>
    <w:p>
      <w:pPr>
        <w:pStyle w:val="FirstParagraph"/>
      </w:pPr>
      <w:r>
        <w:t xml:space="preserve">Two prediction targets are modeled: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Future hospitalization</w:t>
      </w:r>
      <w:r>
        <w:t xml:space="preserve"> </w:t>
      </w:r>
      <w:r>
        <w:t xml:space="preserve">is predicted for all 100,000 patients.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Multimorbidity progression</w:t>
      </w:r>
      <w:r>
        <w:t xml:space="preserve"> </w:t>
      </w:r>
      <w:r>
        <w:t xml:space="preserve">is predicted only within the</w:t>
      </w:r>
      <w:r>
        <w:t xml:space="preserve"> </w:t>
      </w:r>
      <w:r>
        <w:rPr>
          <w:iCs/>
          <w:i/>
        </w:rPr>
        <w:t xml:space="preserve">at-risk cohort</w:t>
      </w:r>
      <w:r>
        <w:t xml:space="preserve"> </w:t>
      </w:r>
      <w:r>
        <w:t xml:space="preserve">of</w:t>
      </w:r>
      <w:r>
        <w:t xml:space="preserve"> </w:t>
      </w:r>
      <w:r>
        <w:t xml:space="preserve">41,654 patients who start with fewer than two baseline conditions, since</w:t>
      </w:r>
      <w:r>
        <w:t xml:space="preserve"> </w:t>
      </w:r>
      <w:r>
        <w:t xml:space="preserve">progression is undefined for patients who are already multimorbid.</w:t>
      </w:r>
    </w:p>
    <w:p>
      <w:pPr>
        <w:pStyle w:val="FirstParagraph"/>
      </w:pPr>
      <w:r>
        <w:t xml:space="preserve">For each target we train a majority-class baseline (</w:t>
      </w:r>
      <w:r>
        <w:rPr>
          <w:rStyle w:val="VerbatimChar"/>
        </w:rPr>
        <w:t xml:space="preserve">DummyClassifier</w:t>
      </w:r>
      <w:r>
        <w:t xml:space="preserve">), logistic</w:t>
      </w:r>
      <w:r>
        <w:t xml:space="preserve"> </w:t>
      </w:r>
      <w:r>
        <w:t xml:space="preserve">regression, random forest, XGBoost, and LightGBM inside scikit-learn pipelines</w:t>
      </w:r>
      <w:r>
        <w:t xml:space="preserve"> </w:t>
      </w:r>
      <w:r>
        <w:t xml:space="preserve">that impute, scale, and one-hot encode features. Class imbalance is handled with</w:t>
      </w:r>
      <w:r>
        <w:t xml:space="preserve"> </w:t>
      </w:r>
      <w:r>
        <w:t xml:space="preserve">balanced class weights (and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w:r>
        <w:t xml:space="preserve">for XGBoost). A stratified 75/25</w:t>
      </w:r>
      <w:r>
        <w:t xml:space="preserve"> </w:t>
      </w:r>
      <w:r>
        <w:t xml:space="preserve">train/test split is used throughout with a fixed random seed.</w:t>
      </w:r>
    </w:p>
    <w:bookmarkEnd w:id="28"/>
    <w:bookmarkStart w:id="29" w:name="test-validation-and-evaluation-metrics"/>
    <w:p>
      <w:pPr>
        <w:pStyle w:val="Heading2"/>
      </w:pPr>
      <w:r>
        <w:t xml:space="preserve">6. Test, Validation, and Evaluation Metrics</w:t>
      </w:r>
    </w:p>
    <w:p>
      <w:pPr>
        <w:pStyle w:val="FirstParagraph"/>
      </w:pPr>
      <w:r>
        <w:t xml:space="preserve">Because both targets are imbalanced, accuracy alone is misleading. Models are</w:t>
      </w:r>
      <w:r>
        <w:t xml:space="preserve"> </w:t>
      </w:r>
      <w:r>
        <w:t xml:space="preserve">evaluated with ROC-AUC, average precision, precision, recall, and F1 on the</w:t>
      </w:r>
      <w:r>
        <w:t xml:space="preserve"> </w:t>
      </w:r>
      <w:r>
        <w:t xml:space="preserve">held-out test split. A majority-class baseline is always included so that lift</w:t>
      </w:r>
      <w:r>
        <w:t xml:space="preserve"> </w:t>
      </w:r>
      <w:r>
        <w:t xml:space="preserve">over the trivial predictor is explicit.</w:t>
      </w:r>
    </w:p>
    <w:bookmarkEnd w:id="29"/>
    <w:bookmarkStart w:id="33" w:name="modeling-results-and-findings"/>
    <w:p>
      <w:pPr>
        <w:pStyle w:val="Heading2"/>
      </w:pPr>
      <w:r>
        <w:t xml:space="preserve">7. Modeling Results and Findings</w:t>
      </w:r>
    </w:p>
    <w:bookmarkStart w:id="30" w:name="future-hospitalization-all-patients"/>
    <w:p>
      <w:pPr>
        <w:pStyle w:val="Heading3"/>
      </w:pPr>
      <w:r>
        <w:t xml:space="preserve">Future hospitalization (all patients)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p>
            <w:pPr>
              <w:pStyle w:val="Compact"/>
              <w:jc w:val="left"/>
            </w:pPr>
            <w:r>
              <w:t xml:space="preserve">Avg precision</w:t>
            </w:r>
          </w:p>
        </w:tc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0.694</w:t>
            </w:r>
          </w:p>
        </w:tc>
        <w:tc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p>
            <w:pPr>
              <w:pStyle w:val="Compact"/>
              <w:jc w:val="left"/>
            </w:pPr>
            <w:r>
              <w:t xml:space="preserve">0.677</w:t>
            </w:r>
          </w:p>
        </w:tc>
        <w:tc>
          <w:p>
            <w:pPr>
              <w:pStyle w:val="Compact"/>
              <w:jc w:val="left"/>
            </w:pPr>
            <w:r>
              <w:t xml:space="preserve">0.132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left"/>
            </w:pPr>
            <w:r>
              <w:t xml:space="preserve">0.686</w:t>
            </w:r>
          </w:p>
        </w:tc>
        <w:tc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p>
            <w:pPr>
              <w:pStyle w:val="Compact"/>
              <w:jc w:val="left"/>
            </w:pPr>
            <w:r>
              <w:t xml:space="preserve">0.617</w:t>
            </w:r>
          </w:p>
        </w:tc>
        <w:tc>
          <w:p>
            <w:pPr>
              <w:pStyle w:val="Compact"/>
              <w:jc w:val="left"/>
            </w:pPr>
            <w:r>
              <w:t xml:space="preserve">0.137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left"/>
            </w:pPr>
            <w:r>
              <w:t xml:space="preserve">0.685</w:t>
            </w:r>
          </w:p>
        </w:tc>
        <w:tc>
          <w:p>
            <w:pPr>
              <w:pStyle w:val="Compact"/>
              <w:jc w:val="left"/>
            </w:pPr>
            <w:r>
              <w:t xml:space="preserve">0.086</w:t>
            </w:r>
          </w:p>
        </w:tc>
        <w:tc>
          <w:p>
            <w:pPr>
              <w:pStyle w:val="Compact"/>
              <w:jc w:val="left"/>
            </w:pPr>
            <w:r>
              <w:t xml:space="preserve">0.127</w:t>
            </w:r>
          </w:p>
        </w:tc>
        <w:tc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p>
            <w:pPr>
              <w:pStyle w:val="Compact"/>
              <w:jc w:val="left"/>
            </w:pPr>
            <w:r>
              <w:t xml:space="preserve">0.040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p>
            <w:pPr>
              <w:pStyle w:val="Compact"/>
              <w:jc w:val="left"/>
            </w:pPr>
            <w:r>
              <w:t xml:space="preserve">0.675</w:t>
            </w:r>
          </w:p>
        </w:tc>
        <w:tc>
          <w:p>
            <w:pPr>
              <w:pStyle w:val="Compact"/>
              <w:jc w:val="left"/>
            </w:pPr>
            <w:r>
              <w:t xml:space="preserve">0.084</w:t>
            </w:r>
          </w:p>
        </w:tc>
        <w:tc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p>
            <w:pPr>
              <w:pStyle w:val="Compact"/>
              <w:jc w:val="left"/>
            </w:pPr>
            <w:r>
              <w:t xml:space="preserve">0.453</w:t>
            </w:r>
          </w:p>
        </w:tc>
        <w:tc>
          <w:p>
            <w:pPr>
              <w:pStyle w:val="Compact"/>
              <w:jc w:val="left"/>
            </w:pPr>
            <w:r>
              <w:t xml:space="preserve">0.134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Dummy (majority)</w:t>
            </w:r>
          </w:p>
        </w:tc>
        <w:tc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bookmarkEnd w:id="30"/>
    <w:bookmarkStart w:id="32" w:name="Xad4f056c322ac18b39fcaefbeeebbbb7673b567"/>
    <w:p>
      <w:pPr>
        <w:pStyle w:val="Heading3"/>
      </w:pPr>
      <w:r>
        <w:t xml:space="preserve">Multimorbidity progression (at-risk cohort)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p>
            <w:pPr>
              <w:pStyle w:val="Compact"/>
              <w:jc w:val="left"/>
            </w:pPr>
            <w:r>
              <w:t xml:space="preserve">Avg precision</w:t>
            </w:r>
          </w:p>
        </w:tc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0.865</w:t>
            </w:r>
          </w:p>
        </w:tc>
        <w:tc>
          <w:p>
            <w:pPr>
              <w:pStyle w:val="Compact"/>
              <w:jc w:val="left"/>
            </w:pPr>
            <w:r>
              <w:t xml:space="preserve">0.777</w:t>
            </w:r>
          </w:p>
        </w:tc>
        <w:tc>
          <w:p>
            <w:pPr>
              <w:pStyle w:val="Compact"/>
              <w:jc w:val="left"/>
            </w:pPr>
            <w:r>
              <w:t xml:space="preserve">0.697</w:t>
            </w:r>
          </w:p>
        </w:tc>
        <w:tc>
          <w:p>
            <w:pPr>
              <w:pStyle w:val="Compact"/>
              <w:jc w:val="left"/>
            </w:pPr>
            <w:r>
              <w:t xml:space="preserve">0.869</w:t>
            </w:r>
          </w:p>
        </w:tc>
        <w:tc>
          <w:p>
            <w:pPr>
              <w:pStyle w:val="Compact"/>
              <w:jc w:val="left"/>
            </w:pPr>
            <w:r>
              <w:t xml:space="preserve">0.774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p>
            <w:pPr>
              <w:pStyle w:val="Compact"/>
              <w:jc w:val="left"/>
            </w:pPr>
            <w:r>
              <w:t xml:space="preserve">0.770</w:t>
            </w:r>
          </w:p>
        </w:tc>
        <w:tc>
          <w:p>
            <w:pPr>
              <w:pStyle w:val="Compact"/>
              <w:jc w:val="left"/>
            </w:pPr>
            <w:r>
              <w:t xml:space="preserve">0.691</w:t>
            </w:r>
          </w:p>
        </w:tc>
        <w:tc>
          <w:p>
            <w:pPr>
              <w:pStyle w:val="Compact"/>
              <w:jc w:val="left"/>
            </w:pPr>
            <w:r>
              <w:t xml:space="preserve">0.865</w:t>
            </w:r>
          </w:p>
        </w:tc>
        <w:tc>
          <w:p>
            <w:pPr>
              <w:pStyle w:val="Compact"/>
              <w:jc w:val="left"/>
            </w:pPr>
            <w:r>
              <w:t xml:space="preserve">0.768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left"/>
            </w:pPr>
            <w:r>
              <w:t xml:space="preserve">0.861</w:t>
            </w:r>
          </w:p>
        </w:tc>
        <w:tc>
          <w:p>
            <w:pPr>
              <w:pStyle w:val="Compact"/>
              <w:jc w:val="left"/>
            </w:pPr>
            <w:r>
              <w:t xml:space="preserve">0.760</w:t>
            </w:r>
          </w:p>
        </w:tc>
        <w:tc>
          <w:p>
            <w:pPr>
              <w:pStyle w:val="Compact"/>
              <w:jc w:val="left"/>
            </w:pPr>
            <w:r>
              <w:t xml:space="preserve">0.701</w:t>
            </w:r>
          </w:p>
        </w:tc>
        <w:tc>
          <w:p>
            <w:pPr>
              <w:pStyle w:val="Compact"/>
              <w:jc w:val="left"/>
            </w:pPr>
            <w:r>
              <w:t xml:space="preserve">0.852</w:t>
            </w:r>
          </w:p>
        </w:tc>
        <w:tc>
          <w:p>
            <w:pPr>
              <w:pStyle w:val="Compact"/>
              <w:jc w:val="left"/>
            </w:pPr>
            <w:r>
              <w:t xml:space="preserve">0.769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left"/>
            </w:pPr>
            <w:r>
              <w:t xml:space="preserve">0.853</w:t>
            </w:r>
          </w:p>
        </w:tc>
        <w:tc>
          <w:p>
            <w:pPr>
              <w:pStyle w:val="Compact"/>
              <w:jc w:val="left"/>
            </w:pPr>
            <w:r>
              <w:t xml:space="preserve">0.764</w:t>
            </w:r>
          </w:p>
        </w:tc>
        <w:tc>
          <w:p>
            <w:pPr>
              <w:pStyle w:val="Compact"/>
              <w:jc w:val="left"/>
            </w:pPr>
            <w:r>
              <w:t xml:space="preserve">0.696</w:t>
            </w:r>
          </w:p>
        </w:tc>
        <w:tc>
          <w:p>
            <w:pPr>
              <w:pStyle w:val="Compact"/>
              <w:jc w:val="left"/>
            </w:pPr>
            <w:r>
              <w:t xml:space="preserve">0.831</w:t>
            </w:r>
          </w:p>
        </w:tc>
        <w:tc>
          <w:p>
            <w:pPr>
              <w:pStyle w:val="Compact"/>
              <w:jc w:val="left"/>
            </w:pPr>
            <w:r>
              <w:t xml:space="preserve">0.757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Dummy (majority)</w:t>
            </w:r>
          </w:p>
        </w:tc>
        <w:tc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p>
            <w:pPr>
              <w:pStyle w:val="Compact"/>
              <w:jc w:val="left"/>
            </w:pPr>
            <w:r>
              <w:t xml:space="preserve">0.435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p>
      <w:pPr>
        <w:pStyle w:val="CaptionedFigure"/>
      </w:pPr>
      <w:r>
        <w:drawing>
          <wp:inline>
            <wp:extent cx="5334000" cy="3301350"/>
            <wp:effectExtent b="0" l="0" r="0" t="0"/>
            <wp:docPr descr="Model comparison by ROC-AUC" title="" id="1" name="Picture"/>
            <a:graphic>
              <a:graphicData uri="http://schemas.openxmlformats.org/drawingml/2006/picture">
                <pic:pic>
                  <pic:nvPicPr>
                    <pic:cNvPr descr="../figures/08_model_comparison_roc_au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comparison by ROC-AUC</w:t>
      </w:r>
    </w:p>
    <w:p>
      <w:pPr>
        <w:pStyle w:val="BodyText"/>
      </w:pPr>
      <w:r>
        <w:t xml:space="preserve">Multimorbidity progression is highly predictable from baseline history, while</w:t>
      </w:r>
      <w:r>
        <w:t xml:space="preserve"> </w:t>
      </w:r>
      <w:r>
        <w:t xml:space="preserve">future hospitalization is a much harder, rarer signal where all models offer</w:t>
      </w:r>
      <w:r>
        <w:t xml:space="preserve"> </w:t>
      </w:r>
      <w:r>
        <w:t xml:space="preserve">modest but real lift over the baseline.</w:t>
      </w:r>
    </w:p>
    <w:bookmarkEnd w:id="32"/>
    <w:bookmarkEnd w:id="33"/>
    <w:bookmarkStart w:id="36" w:name="calibration-and-threshold-analysis"/>
    <w:p>
      <w:pPr>
        <w:pStyle w:val="Heading2"/>
      </w:pPr>
      <w:r>
        <w:t xml:space="preserve">8. Calibration and Threshold Analysis</w:t>
      </w:r>
    </w:p>
    <w:p>
      <w:pPr>
        <w:pStyle w:val="FirstParagraph"/>
      </w:pPr>
      <w:r>
        <w:t xml:space="preserve">Because care teams act on a risk threshold rather than a model ranking, the best</w:t>
      </w:r>
      <w:r>
        <w:t xml:space="preserve"> </w:t>
      </w:r>
      <w:r>
        <w:t xml:space="preserve">hospitalization model (XGBoost) was analyzed for calibration and threshold</w:t>
      </w:r>
      <w:r>
        <w:t xml:space="preserve"> </w:t>
      </w:r>
      <w:r>
        <w:t xml:space="preserve">trade-offs.</w:t>
      </w:r>
    </w:p>
    <w:p>
      <w:pPr>
        <w:pStyle w:val="CaptionedFigure"/>
      </w:pPr>
      <w:r>
        <w:drawing>
          <wp:inline>
            <wp:extent cx="5334000" cy="4434943"/>
            <wp:effectExtent b="0" l="0" r="0" t="0"/>
            <wp:docPr descr="Calibration curve" title="" id="1" name="Picture"/>
            <a:graphic>
              <a:graphicData uri="http://schemas.openxmlformats.org/drawingml/2006/picture">
                <pic:pic>
                  <pic:nvPicPr>
                    <pic:cNvPr descr="../figures/calibration_cur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4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Calibration curve</w:t>
      </w:r>
    </w:p>
    <w:p>
      <w:pPr>
        <w:pStyle w:val="CaptionedFigure"/>
      </w:pPr>
      <w:r>
        <w:drawing>
          <wp:inline>
            <wp:extent cx="5334000" cy="4434943"/>
            <wp:effectExtent b="0" l="0" r="0" t="0"/>
            <wp:docPr descr="Precision-recall curve" title="" id="1" name="Picture"/>
            <a:graphic>
              <a:graphicData uri="http://schemas.openxmlformats.org/drawingml/2006/picture">
                <pic:pic>
                  <pic:nvPicPr>
                    <pic:cNvPr descr="../figures/precision_recall_cur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4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Precision-recall curve</w:t>
      </w:r>
    </w:p>
    <w:p>
      <w:pPr>
        <w:pStyle w:val="BodyText"/>
      </w:pPr>
      <w:r>
        <w:t xml:space="preserve">The model</w:t>
      </w:r>
      <w:r>
        <w:t xml:space="preserve"> </w:t>
      </w:r>
      <w:r>
        <w:rPr>
          <w:bCs/>
          <w:b/>
        </w:rPr>
        <w:t xml:space="preserve">ranks</w:t>
      </w:r>
      <w:r>
        <w:t xml:space="preserve"> </w:t>
      </w:r>
      <w:r>
        <w:t xml:space="preserve">patients well (ROC-AUC 0.694) but is</w:t>
      </w:r>
      <w:r>
        <w:t xml:space="preserve"> </w:t>
      </w:r>
      <w:r>
        <w:rPr>
          <w:bCs/>
          <w:b/>
        </w:rPr>
        <w:t xml:space="preserve">poorly calibrated</w:t>
      </w:r>
      <w:r>
        <w:t xml:space="preserve"> </w:t>
      </w:r>
      <w:r>
        <w:t xml:space="preserve">(Brier score 0.211): class weighting inflates predicted probabilities, so the raw</w:t>
      </w:r>
      <w:r>
        <w:t xml:space="preserve"> </w:t>
      </w:r>
      <w:r>
        <w:t xml:space="preserve">scores should be treated as a ranking rather than as literal risks. The threshold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outputs/tables/threshold_analysis.csv</w:t>
      </w:r>
      <w:r>
        <w:t xml:space="preserve">) shows the trade-off — for example,</w:t>
      </w:r>
      <w:r>
        <w:t xml:space="preserve"> </w:t>
      </w:r>
      <w:r>
        <w:t xml:space="preserve">a 0.5 threshold flags 42% of patients at 68% recall and 7% precision. Recalibrating</w:t>
      </w:r>
      <w:r>
        <w:t xml:space="preserve"> </w:t>
      </w:r>
      <w:r>
        <w:t xml:space="preserve">(e.g. with</w:t>
      </w:r>
      <w:r>
        <w:t xml:space="preserve"> </w:t>
      </w:r>
      <w:r>
        <w:rPr>
          <w:rStyle w:val="VerbatimChar"/>
        </w:rPr>
        <w:t xml:space="preserve">CalibratedClassifierCV</w:t>
      </w:r>
      <w:r>
        <w:t xml:space="preserve">) is recommended before using absolute</w:t>
      </w:r>
      <w:r>
        <w:t xml:space="preserve"> </w:t>
      </w:r>
      <w:r>
        <w:t xml:space="preserve">thresholds clinically.</w:t>
      </w:r>
    </w:p>
    <w:bookmarkEnd w:id="36"/>
    <w:bookmarkStart w:id="38" w:name="explainability"/>
    <w:p>
      <w:pPr>
        <w:pStyle w:val="Heading2"/>
      </w:pPr>
      <w:r>
        <w:t xml:space="preserve">9. Explainability</w:t>
      </w:r>
    </w:p>
    <w:p>
      <w:pPr>
        <w:pStyle w:val="FirstParagraph"/>
      </w:pPr>
      <w:r>
        <w:t xml:space="preserve">SHAP</w:t>
      </w:r>
      <w:r>
        <w:t xml:space="preserve"> </w:t>
      </w:r>
      <w:r>
        <w:rPr>
          <w:rStyle w:val="VerbatimChar"/>
        </w:rPr>
        <w:t xml:space="preserve">TreeExplainer</w:t>
      </w:r>
      <w:r>
        <w:t xml:space="preserve"> </w:t>
      </w:r>
      <w:r>
        <w:t xml:space="preserve">was applied to the best tree model for each target.</w:t>
      </w:r>
    </w:p>
    <w:p>
      <w:pPr>
        <w:pStyle w:val="CaptionedFigure"/>
      </w:pPr>
      <w:r>
        <w:drawing>
          <wp:inline>
            <wp:extent cx="5334000" cy="6451137"/>
            <wp:effectExtent b="0" l="0" r="0" t="0"/>
            <wp:docPr descr="SHAP summary: multimorbidity progression" title="" id="1" name="Picture"/>
            <a:graphic>
              <a:graphicData uri="http://schemas.openxmlformats.org/drawingml/2006/picture">
                <pic:pic>
                  <pic:nvPicPr>
                    <pic:cNvPr descr="../figures/shap_summary_multimorbidity_progres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51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SHAP summary: multimorbidity progression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Future hospitalization</w:t>
      </w:r>
      <w:r>
        <w:t xml:space="preserve">: prior hospitalization count, age, and Charlson</w:t>
      </w:r>
      <w:r>
        <w:t xml:space="preserve"> </w:t>
      </w:r>
      <w:r>
        <w:t xml:space="preserve">index dominate — classic utilization and comorbidity drivers.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Multimorbidity progression</w:t>
      </w:r>
      <w:r>
        <w:t xml:space="preserve">: medication indication count and total</w:t>
      </w:r>
      <w:r>
        <w:t xml:space="preserve"> </w:t>
      </w:r>
      <w:r>
        <w:t xml:space="preserve">medication count (polypharmacy proxies), baseline condition count, and visit</w:t>
      </w:r>
      <w:r>
        <w:t xml:space="preserve"> </w:t>
      </w:r>
      <w:r>
        <w:t xml:space="preserve">count are the strongest contributors.</w:t>
      </w:r>
    </w:p>
    <w:p>
      <w:pPr>
        <w:pStyle w:val="FirstParagraph"/>
      </w:pPr>
      <w:r>
        <w:t xml:space="preserve">Plain feature importance is retained as an environment-independent fallback.</w:t>
      </w:r>
    </w:p>
    <w:bookmarkEnd w:id="38"/>
    <w:bookmarkStart w:id="40" w:name="survival-analysis"/>
    <w:p>
      <w:pPr>
        <w:pStyle w:val="Heading2"/>
      </w:pPr>
      <w:r>
        <w:t xml:space="preserve">10. Survival Analysis</w:t>
      </w:r>
    </w:p>
    <w:p>
      <w:pPr>
        <w:pStyle w:val="FirstParagraph"/>
      </w:pPr>
      <w:r>
        <w:t xml:space="preserve">Time to multimorbidity progression was analyzed for the at-risk cohort, with the</w:t>
      </w:r>
      <w:r>
        <w:t xml:space="preserve"> </w:t>
      </w:r>
      <w:r>
        <w:t xml:space="preserve">event being the day a patient reaches two distinct conditions and censoring at the</w:t>
      </w:r>
      <w:r>
        <w:t xml:space="preserve"> </w:t>
      </w:r>
      <w:r>
        <w:t xml:space="preserve">horizon. The survival event counts match the classification target exactly</w:t>
      </w:r>
      <w:r>
        <w:t xml:space="preserve"> </w:t>
      </w:r>
      <w:r>
        <w:t xml:space="preserve">(18,107 events), confirming a consistent definition.</w:t>
      </w:r>
    </w:p>
    <w:p>
      <w:pPr>
        <w:pStyle w:val="CaptionedFigure"/>
      </w:pPr>
      <w:r>
        <w:drawing>
          <wp:inline>
            <wp:extent cx="5334000" cy="3791576"/>
            <wp:effectExtent b="0" l="0" r="0" t="0"/>
            <wp:docPr descr="Kaplan-Meier progression-free survival" title="" id="1" name="Picture"/>
            <a:graphic>
              <a:graphicData uri="http://schemas.openxmlformats.org/drawingml/2006/picture">
                <pic:pic>
                  <pic:nvPicPr>
                    <pic:cNvPr descr="../figures/km_curve_progres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1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Kaplan-Meier progression-free survival</w:t>
      </w:r>
    </w:p>
    <w:p>
      <w:pPr>
        <w:pStyle w:val="BodyText"/>
      </w:pPr>
      <w:r>
        <w:t xml:space="preserve">A Cox proportional hazards model (</w:t>
      </w:r>
      <w:r>
        <w:rPr>
          <w:rStyle w:val="VerbatimChar"/>
        </w:rPr>
        <w:t xml:space="preserve">outputs/tables/cox_model_summary.csv</w:t>
      </w:r>
      <w:r>
        <w:t xml:space="preserve">) shows</w:t>
      </w:r>
      <w:r>
        <w:t xml:space="preserve"> </w:t>
      </w:r>
      <w:r>
        <w:t xml:space="preserve">older age (hazard ratio ~1.02 per year) and higher Charlson index (HR ~1.49)</w:t>
      </w:r>
      <w:r>
        <w:t xml:space="preserve"> </w:t>
      </w:r>
      <w:r>
        <w:t xml:space="preserve">increase the progression hazard, as expected. Counterintuitively, patients</w:t>
      </w:r>
      <w:r>
        <w:t xml:space="preserve"> </w:t>
      </w:r>
      <w:r>
        <w:t xml:space="preserve">starting with one condition progress</w:t>
      </w:r>
      <w:r>
        <w:t xml:space="preserve"> </w:t>
      </w:r>
      <w:r>
        <w:rPr>
          <w:iCs/>
          <w:i/>
        </w:rPr>
        <w:t xml:space="preserve">slower</w:t>
      </w:r>
      <w:r>
        <w:t xml:space="preserve"> </w:t>
      </w:r>
      <w:r>
        <w:t xml:space="preserve">than those starting with none</w:t>
      </w:r>
      <w:r>
        <w:t xml:space="preserve"> </w:t>
      </w:r>
      <w:r>
        <w:t xml:space="preserve">(HR ~0.37); this is a property of the synthetic data — zero-condition patients</w:t>
      </w:r>
      <w:r>
        <w:t xml:space="preserve"> </w:t>
      </w:r>
      <w:r>
        <w:t xml:space="preserve">accumulate two new conditions more readily than one-condition patients add their</w:t>
      </w:r>
      <w:r>
        <w:t xml:space="preserve"> </w:t>
      </w:r>
      <w:r>
        <w:t xml:space="preserve">second — and is noted here as a data characteristic rather than a modeling error.</w:t>
      </w:r>
    </w:p>
    <w:bookmarkEnd w:id="40"/>
    <w:bookmarkStart w:id="41" w:name="limitations-and-validity"/>
    <w:p>
      <w:pPr>
        <w:pStyle w:val="Heading2"/>
      </w:pPr>
      <w:r>
        <w:t xml:space="preserve">11. Limitations and Validity</w:t>
      </w:r>
    </w:p>
    <w:p>
      <w:pPr>
        <w:numPr>
          <w:ilvl w:val="0"/>
          <w:numId w:val="1006"/>
        </w:numPr>
        <w:pStyle w:val="Compact"/>
      </w:pPr>
      <w:r>
        <w:t xml:space="preserve">The data is synthetic; results do not transfer to real patients.</w:t>
      </w:r>
    </w:p>
    <w:p>
      <w:pPr>
        <w:numPr>
          <w:ilvl w:val="0"/>
          <w:numId w:val="1006"/>
        </w:numPr>
        <w:pStyle w:val="Compact"/>
      </w:pPr>
      <w:r>
        <w:t xml:space="preserve">Future hospitalization, ICU, and readmission are rare events; metrics for the</w:t>
      </w:r>
      <w:r>
        <w:t xml:space="preserve"> </w:t>
      </w:r>
      <w:r>
        <w:t xml:space="preserve">rarest targets are unstable and were not fully modeled.</w:t>
      </w:r>
    </w:p>
    <w:p>
      <w:pPr>
        <w:numPr>
          <w:ilvl w:val="0"/>
          <w:numId w:val="1006"/>
        </w:numPr>
        <w:pStyle w:val="Compact"/>
      </w:pPr>
      <w:r>
        <w:t xml:space="preserve">The best hospitalization model is miscalibrated and needs recalibration before</w:t>
      </w:r>
      <w:r>
        <w:t xml:space="preserve"> </w:t>
      </w:r>
      <w:r>
        <w:t xml:space="preserve">its probabilities are used as absolute risks.</w:t>
      </w:r>
    </w:p>
    <w:p>
      <w:pPr>
        <w:numPr>
          <w:ilvl w:val="0"/>
          <w:numId w:val="1006"/>
        </w:numPr>
        <w:pStyle w:val="Compact"/>
      </w:pPr>
      <w:r>
        <w:t xml:space="preserve">Some findings (e.g. the baseline-condition-count hazard) reflect quirks of the</w:t>
      </w:r>
      <w:r>
        <w:t xml:space="preserve"> </w:t>
      </w:r>
      <w:r>
        <w:t xml:space="preserve">synthetic generator.</w:t>
      </w:r>
    </w:p>
    <w:bookmarkEnd w:id="41"/>
    <w:bookmarkStart w:id="42" w:name="future-work"/>
    <w:p>
      <w:pPr>
        <w:pStyle w:val="Heading2"/>
      </w:pPr>
      <w:r>
        <w:t xml:space="preserve">12. Future Work</w:t>
      </w:r>
    </w:p>
    <w:p>
      <w:pPr>
        <w:numPr>
          <w:ilvl w:val="0"/>
          <w:numId w:val="1007"/>
        </w:numPr>
        <w:pStyle w:val="Compact"/>
      </w:pPr>
      <w:r>
        <w:t xml:space="preserve">Recalibrate risk probabilities and tune operating thresholds per care setting.</w:t>
      </w:r>
    </w:p>
    <w:p>
      <w:pPr>
        <w:numPr>
          <w:ilvl w:val="0"/>
          <w:numId w:val="1007"/>
        </w:numPr>
        <w:pStyle w:val="Compact"/>
      </w:pPr>
      <w:r>
        <w:t xml:space="preserve">Model the rarer ICU and readmission targets with resampling or specialized</w:t>
      </w:r>
      <w:r>
        <w:t xml:space="preserve"> </w:t>
      </w:r>
      <w:r>
        <w:t xml:space="preserve">loss functions.</w:t>
      </w:r>
    </w:p>
    <w:p>
      <w:pPr>
        <w:numPr>
          <w:ilvl w:val="0"/>
          <w:numId w:val="1007"/>
        </w:numPr>
        <w:pStyle w:val="Compact"/>
      </w:pPr>
      <w:r>
        <w:t xml:space="preserve">Extend survival analysis to time-to-first-hospitalization and competing risks.</w:t>
      </w:r>
    </w:p>
    <w:p>
      <w:pPr>
        <w:numPr>
          <w:ilvl w:val="0"/>
          <w:numId w:val="1007"/>
        </w:numPr>
        <w:pStyle w:val="Compact"/>
      </w:pPr>
      <w:r>
        <w:t xml:space="preserve">Validate the workflow on an independent synthetic or de-identified EHR dataset.</w:t>
      </w:r>
    </w:p>
    <w:bookmarkEnd w:id="42"/>
    <w:bookmarkStart w:id="43" w:name="reproducibility"/>
    <w:p>
      <w:pPr>
        <w:pStyle w:val="Heading2"/>
      </w:pPr>
      <w:r>
        <w:t xml:space="preserve">13. Reproducibility</w:t>
      </w:r>
    </w:p>
    <w:p>
      <w:pPr>
        <w:pStyle w:val="FirstParagraph"/>
      </w:pPr>
      <w:r>
        <w:t xml:space="preserve">The project ships reusable helpers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ten ordered notebooks, and a</w:t>
      </w:r>
      <w:r>
        <w:t xml:space="preserve"> </w:t>
      </w:r>
      <w:r>
        <w:t xml:space="preserve">lightweight pipeline runner: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--step</w:t>
      </w:r>
      <w:r>
        <w:rPr>
          <w:rStyle w:val="NormalTok"/>
        </w:rPr>
        <w:t xml:space="preserve"> features    </w:t>
      </w:r>
      <w:r>
        <w:rPr>
          <w:rStyle w:val="CommentTok"/>
        </w:rPr>
        <w:t xml:space="preserve"># build the modeling dataset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--step</w:t>
      </w:r>
      <w:r>
        <w:rPr>
          <w:rStyle w:val="NormalTok"/>
        </w:rPr>
        <w:t xml:space="preserve"> models      </w:t>
      </w:r>
      <w:r>
        <w:rPr>
          <w:rStyle w:val="CommentTok"/>
        </w:rPr>
        <w:t xml:space="preserve"># train baseline + advanced models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--step</w:t>
      </w:r>
      <w:r>
        <w:rPr>
          <w:rStyle w:val="NormalTok"/>
        </w:rPr>
        <w:t xml:space="preserve"> evaluate    </w:t>
      </w:r>
      <w:r>
        <w:rPr>
          <w:rStyle w:val="CommentTok"/>
        </w:rPr>
        <w:t xml:space="preserve"># metrics + comparison figures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--step</w:t>
      </w:r>
      <w:r>
        <w:rPr>
          <w:rStyle w:val="NormalTok"/>
        </w:rPr>
        <w:t xml:space="preserve"> calibrate   </w:t>
      </w:r>
      <w:r>
        <w:rPr>
          <w:rStyle w:val="CommentTok"/>
        </w:rPr>
        <w:t xml:space="preserve"># threshold + calibration analysis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--step</w:t>
      </w:r>
      <w:r>
        <w:rPr>
          <w:rStyle w:val="NormalTok"/>
        </w:rPr>
        <w:t xml:space="preserve"> explain     </w:t>
      </w:r>
      <w:r>
        <w:rPr>
          <w:rStyle w:val="CommentTok"/>
        </w:rPr>
        <w:t xml:space="preserve"># SHAP summary + top-features table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--step</w:t>
      </w:r>
      <w:r>
        <w:rPr>
          <w:rStyle w:val="NormalTok"/>
        </w:rPr>
        <w:t xml:space="preserve"> survival    </w:t>
      </w:r>
      <w:r>
        <w:rPr>
          <w:rStyle w:val="CommentTok"/>
        </w:rPr>
        <w:t xml:space="preserve"># Kaplan-Meier + Cox model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--step</w:t>
      </w:r>
      <w:r>
        <w:rPr>
          <w:rStyle w:val="NormalTok"/>
        </w:rPr>
        <w:t xml:space="preserve"> all         </w:t>
      </w:r>
      <w:r>
        <w:rPr>
          <w:rStyle w:val="CommentTok"/>
        </w:rPr>
        <w:t xml:space="preserve"># run every step in order</w:t>
      </w:r>
    </w:p>
    <w:p>
      <w:pPr>
        <w:pStyle w:val="FirstParagraph"/>
      </w:pPr>
      <w:r>
        <w:t xml:space="preserve">Leakage-prevention and output-existence tests run with</w:t>
      </w:r>
      <w:r>
        <w:t xml:space="preserve"> </w:t>
      </w:r>
      <w:r>
        <w:rPr>
          <w:rStyle w:val="VerbatimChar"/>
        </w:rPr>
        <w:t xml:space="preserve">pytest tests/</w:t>
      </w:r>
      <w:r>
        <w:t xml:space="preserve">. A</w:t>
      </w:r>
      <w:r>
        <w:t xml:space="preserve"> </w:t>
      </w:r>
      <w:r>
        <w:t xml:space="preserve">Streamlit dashboard (</w:t>
      </w:r>
      <w:r>
        <w:rPr>
          <w:rStyle w:val="VerbatimChar"/>
        </w:rPr>
        <w:t xml:space="preserve">streamlit run app/streamlit_app.py</w:t>
      </w:r>
      <w:r>
        <w:t xml:space="preserve">) summarizes the</w:t>
      </w:r>
      <w:r>
        <w:t xml:space="preserve"> </w:t>
      </w:r>
      <w:r>
        <w:t xml:space="preserve">dataset, metrics, figures, reports, and a single-patient risk lookup. See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t xml:space="preserve">for full setup, current metrics, and known limitations.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35" Target="media/rId35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2026-07-05T14:18:48Z</dcterms:created>
  <dcterms:modified xsi:type="dcterms:W3CDTF">2026-07-05T14:18:48Z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