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aps/>
          <w:color w:val="6B7280"/>
          <w:sz w:val="17"/>
          <w:szCs w:val="17"/>
        </w:rPr>
        <w:t xml:space="preserve">CPeak Consultancy — Site Metinleri</w:t>
      </w:r>
    </w:p>
    <w:p>
      <w:pPr>
        <w:spacing w:after="120"/>
      </w:pPr>
      <w:r>
        <w:rPr>
          <w:b/>
          <w:bCs/>
          <w:color w:val="111827"/>
          <w:sz w:val="40"/>
          <w:szCs w:val="40"/>
        </w:rPr>
        <w:t xml:space="preserve">SAP Private Cloud Çözüm Sayfası Metinleri</w:t>
      </w:r>
    </w:p>
    <w:p>
      <w:pPr>
        <w:pBdr>
          <w:bottom w:val="single" w:color="B45309" w:sz="8" w:space="8"/>
        </w:pBdr>
        <w:spacing w:after="300"/>
      </w:pPr>
      <w:r>
        <w:rPr>
          <w:color w:val="6B7280"/>
          <w:sz w:val="17"/>
          <w:szCs w:val="17"/>
        </w:rPr>
        <w:t xml:space="preserve">Kaynak dosya: src/data/solutions/privateCloud.ts</w:t>
      </w:r>
    </w:p>
    <w:p>
      <w:pPr>
        <w:spacing w:after="100"/>
      </w:pPr>
      <w:r>
        <w:rPr>
          <w:b/>
          <w:bCs/>
          <w:color w:val="111827"/>
          <w:sz w:val="22"/>
          <w:szCs w:val="22"/>
        </w:rPr>
        <w:t xml:space="preserve">Bu belge nedir?</w:t>
      </w:r>
    </w:p>
    <w:p>
      <w:pPr>
        <w:spacing w:after="120" w:line="300"/>
      </w:pPr>
      <w:r>
        <w:rPr>
          <w:color w:val="111827"/>
          <w:sz w:val="21"/>
          <w:szCs w:val="21"/>
        </w:rPr>
        <w:t xml:space="preserve">Web sitesinde sabit olarak duran yazıların tamamı bu belgede toplanmıştır. Başlıklar, sitedeki bölümlere karşılık gelir; her başlığın altında o bölümde geçen metinler yer alır.</w:t>
      </w:r>
    </w:p>
    <w:p>
      <w:pPr>
        <w:spacing w:after="100"/>
      </w:pPr>
      <w:r>
        <w:rPr>
          <w:b/>
          <w:bCs/>
          <w:color w:val="111827"/>
          <w:sz w:val="22"/>
          <w:szCs w:val="22"/>
        </w:rPr>
        <w:t xml:space="preserve">Nasıl okunur, nasıl düzenlenir?</w:t>
      </w:r>
    </w:p>
    <w:p>
      <w:pPr>
        <w:spacing w:after="80" w:line="300"/>
        <w:ind w:left="340" w:hanging="220"/>
      </w:pPr>
      <w:r>
        <w:rPr>
          <w:color w:val="6B7280"/>
          <w:sz w:val="21"/>
          <w:szCs w:val="21"/>
        </w:rPr>
        <w:t xml:space="preserve">• </w:t>
      </w:r>
      <w:r>
        <w:rPr>
          <w:b/>
          <w:bCs/>
          <w:color w:val="B45309"/>
          <w:sz w:val="16"/>
          <w:szCs w:val="16"/>
        </w:rPr>
        <w:t xml:space="preserve">TR</w:t>
      </w:r>
      <w:r>
        <w:rPr>
          <w:color w:val="111827"/>
          <w:sz w:val="21"/>
          <w:szCs w:val="21"/>
        </w:rPr>
        <w:t xml:space="preserve"> işareti Türkçe metni, </w:t>
      </w:r>
      <w:r>
        <w:rPr>
          <w:b/>
          <w:bCs/>
          <w:color w:val="475569"/>
          <w:sz w:val="16"/>
          <w:szCs w:val="16"/>
        </w:rPr>
        <w:t xml:space="preserve">EN</w:t>
      </w:r>
      <w:r>
        <w:rPr>
          <w:color w:val="111827"/>
          <w:sz w:val="21"/>
          <w:szCs w:val="21"/>
        </w:rPr>
        <w:t xml:space="preserve"> işareti aynı metnin İngilizcesini gösterir; ikisi her zaman art arda gelir.</w:t>
      </w:r>
    </w:p>
    <w:p>
      <w:pPr>
        <w:spacing w:after="80" w:line="300"/>
        <w:ind w:left="340" w:hanging="220"/>
      </w:pPr>
      <w:r>
        <w:rPr>
          <w:color w:val="6B7280"/>
          <w:sz w:val="21"/>
          <w:szCs w:val="21"/>
        </w:rPr>
        <w:t xml:space="preserve">• </w:t>
      </w:r>
      <w:r>
        <w:rPr>
          <w:color w:val="111827"/>
          <w:sz w:val="21"/>
          <w:szCs w:val="21"/>
        </w:rPr>
        <w:t xml:space="preserve">Küçük ve gri yazılmış satırlar alan adlarıdır (örneğin “ANA BAŞLIK”). Bunlar sitede görünmez, yalnızca hangi metnin nereye ait olduğunu söyler.</w:t>
      </w:r>
    </w:p>
    <w:p>
      <w:pPr>
        <w:spacing w:after="80" w:line="300"/>
        <w:ind w:left="340" w:hanging="220"/>
      </w:pPr>
      <w:r>
        <w:rPr>
          <w:color w:val="6B7280"/>
          <w:sz w:val="21"/>
          <w:szCs w:val="21"/>
        </w:rPr>
        <w:t xml:space="preserve">• </w:t>
      </w:r>
      <w:r>
        <w:rPr>
          <w:color w:val="111827"/>
          <w:sz w:val="21"/>
          <w:szCs w:val="21"/>
        </w:rPr>
        <w:t xml:space="preserve">Metni doğrudan bu belgede değiştirebilirsiniz. Alan adlarını, numaraları ve başlık sırasını değiştirmeyin — geliştirici değişikliği bu sıraya bakarak siteye aktarır.</w:t>
      </w:r>
    </w:p>
    <w:p>
      <w:pPr>
        <w:spacing w:after="80" w:line="300"/>
        <w:ind w:left="340" w:hanging="220"/>
      </w:pPr>
      <w:r>
        <w:rPr>
          <w:color w:val="6B7280"/>
          <w:sz w:val="21"/>
          <w:szCs w:val="21"/>
        </w:rPr>
        <w:t xml:space="preserve">• </w:t>
      </w:r>
      <w:r>
        <w:rPr>
          <w:color w:val="111827"/>
          <w:sz w:val="21"/>
          <w:szCs w:val="21"/>
        </w:rPr>
        <w:t xml:space="preserve">Bir metni tamamen kaldırmak istiyorsanız silmek yerine yanına not düşün; bazı alanlar boş kalırsa sitede hata görünür.</w:t>
      </w:r>
    </w:p>
    <w:p>
      <w:pPr>
        <w:spacing w:after="80" w:line="300"/>
        <w:ind w:left="340" w:hanging="220"/>
      </w:pPr>
      <w:r>
        <w:rPr>
          <w:color w:val="6B7280"/>
          <w:sz w:val="21"/>
          <w:szCs w:val="21"/>
        </w:rPr>
        <w:t xml:space="preserve">• </w:t>
      </w:r>
      <w:r>
        <w:rPr>
          <w:color w:val="111827"/>
          <w:sz w:val="21"/>
          <w:szCs w:val="21"/>
        </w:rPr>
        <w:t xml:space="preserve">Eğik yazılmış gri açıklamalar, o bölümün sitede nerede göründüğünü anlatır.</w:t>
      </w:r>
    </w:p>
    <w:p>
      <w:pPr>
        <w:pStyle w:val="Heading1"/>
        <w:pBdr>
          <w:bottom w:val="single" w:color="D1D5DB" w:sz="6" w:space="6"/>
        </w:pBdr>
        <w:spacing w:after="100" w:before="400"/>
      </w:pPr>
      <w:r>
        <w:rPr>
          <w:b/>
          <w:bCs/>
          <w:color w:val="111827"/>
          <w:sz w:val="30"/>
          <w:szCs w:val="30"/>
        </w:rPr>
        <w:t xml:space="preserve">Menü ve kart metinleri</w:t>
      </w:r>
    </w:p>
    <w:p>
      <w:pPr>
        <w:spacing w:after="40" w:before="200"/>
      </w:pPr>
      <w:r>
        <w:rPr>
          <w:b/>
          <w:bCs/>
          <w:color w:val="6B7280"/>
          <w:sz w:val="16"/>
          <w:szCs w:val="16"/>
        </w:rPr>
        <w:t xml:space="preserve">MENÜDE GÖRÜNEN AD</w:t>
      </w:r>
    </w:p>
    <w:p>
      <w:pPr>
        <w:spacing w:after="60"/>
      </w:pPr>
      <w:r>
        <w:rPr>
          <w:i/>
          <w:iCs/>
          <w:color w:val="6B7280"/>
          <w:sz w:val="16"/>
          <w:szCs w:val="16"/>
        </w:rPr>
        <w:t xml:space="preserve">Üst menüde ve açılır listede görünen kısa ad.</w:t>
      </w:r>
    </w:p>
    <w:p>
      <w:pPr>
        <w:spacing w:after="90" w:before="0" w:line="300"/>
      </w:pPr>
      <w:r>
        <w:rPr>
          <w:b/>
          <w:bCs/>
          <w:color w:val="B45309"/>
          <w:sz w:val="15"/>
          <w:szCs w:val="15"/>
        </w:rPr>
        <w:t xml:space="preserve">TR</w:t>
      </w:r>
      <w:r>
        <w:t xml:space="preserve"> </w:t>
      </w:r>
      <w:r>
        <w:rPr>
          <w:color w:val="111827"/>
          <w:sz w:val="21"/>
          <w:szCs w:val="21"/>
        </w:rPr>
        <w:t xml:space="preserve">SAP Private Cloud</w:t>
      </w:r>
    </w:p>
    <w:p>
      <w:pPr>
        <w:spacing w:after="90" w:before="0" w:line="300"/>
      </w:pPr>
      <w:r>
        <w:rPr>
          <w:b/>
          <w:bCs/>
          <w:color w:val="475569"/>
          <w:sz w:val="15"/>
          <w:szCs w:val="15"/>
        </w:rPr>
        <w:t xml:space="preserve">EN</w:t>
      </w:r>
      <w:r>
        <w:t xml:space="preserve"> </w:t>
      </w:r>
      <w:r>
        <w:rPr>
          <w:color w:val="111827"/>
          <w:sz w:val="21"/>
          <w:szCs w:val="21"/>
        </w:rPr>
        <w:t xml:space="preserve">SAP Private Cloud</w:t>
      </w:r>
    </w:p>
    <w:p>
      <w:pPr>
        <w:spacing w:after="40" w:before="200"/>
      </w:pPr>
      <w:r>
        <w:rPr>
          <w:b/>
          <w:bCs/>
          <w:color w:val="6B7280"/>
          <w:sz w:val="16"/>
          <w:szCs w:val="16"/>
        </w:rPr>
        <w:t xml:space="preserve">MENÜ AÇIKLAMASI</w:t>
      </w:r>
    </w:p>
    <w:p>
      <w:pPr>
        <w:spacing w:after="90" w:before="0" w:line="300"/>
      </w:pPr>
      <w:r>
        <w:rPr>
          <w:b/>
          <w:bCs/>
          <w:color w:val="B45309"/>
          <w:sz w:val="15"/>
          <w:szCs w:val="15"/>
        </w:rPr>
        <w:t xml:space="preserve">TR</w:t>
      </w:r>
      <w:r>
        <w:t xml:space="preserve"> </w:t>
      </w:r>
      <w:r>
        <w:rPr>
          <w:color w:val="111827"/>
          <w:sz w:val="21"/>
          <w:szCs w:val="21"/>
        </w:rPr>
        <w:t xml:space="preserve">RISE with SAP ve Cloud ERP Private Edition mimarisi</w:t>
      </w:r>
    </w:p>
    <w:p>
      <w:pPr>
        <w:spacing w:after="90" w:before="0" w:line="300"/>
      </w:pPr>
      <w:r>
        <w:rPr>
          <w:b/>
          <w:bCs/>
          <w:color w:val="475569"/>
          <w:sz w:val="15"/>
          <w:szCs w:val="15"/>
        </w:rPr>
        <w:t xml:space="preserve">EN</w:t>
      </w:r>
      <w:r>
        <w:t xml:space="preserve"> </w:t>
      </w:r>
      <w:r>
        <w:rPr>
          <w:color w:val="111827"/>
          <w:sz w:val="21"/>
          <w:szCs w:val="21"/>
        </w:rPr>
        <w:t xml:space="preserve">RISE with SAP and Cloud ERP Private Edition architecture</w:t>
      </w:r>
    </w:p>
    <w:p>
      <w:pPr>
        <w:spacing w:after="40" w:before="200"/>
      </w:pPr>
      <w:r>
        <w:rPr>
          <w:b/>
          <w:bCs/>
          <w:color w:val="6B7280"/>
          <w:sz w:val="16"/>
          <w:szCs w:val="16"/>
        </w:rPr>
        <w:t xml:space="preserve">ANA SAYFA KARTI AÇIKLAMASI</w:t>
      </w:r>
    </w:p>
    <w:p>
      <w:pPr>
        <w:spacing w:after="60"/>
      </w:pPr>
      <w:r>
        <w:rPr>
          <w:i/>
          <w:iCs/>
          <w:color w:val="6B7280"/>
          <w:sz w:val="16"/>
          <w:szCs w:val="16"/>
        </w:rPr>
        <w:t xml:space="preserve">Ana sayfadaki çözüm kartında görünen kısa açıklama.</w:t>
      </w:r>
    </w:p>
    <w:p>
      <w:pPr>
        <w:spacing w:after="90" w:before="0" w:line="300"/>
      </w:pPr>
      <w:r>
        <w:rPr>
          <w:b/>
          <w:bCs/>
          <w:color w:val="B45309"/>
          <w:sz w:val="15"/>
          <w:szCs w:val="15"/>
        </w:rPr>
        <w:t xml:space="preserve">TR</w:t>
      </w:r>
      <w:r>
        <w:t xml:space="preserve"> </w:t>
      </w:r>
      <w:r>
        <w:rPr>
          <w:color w:val="111827"/>
          <w:sz w:val="21"/>
          <w:szCs w:val="21"/>
        </w:rPr>
        <w:t xml:space="preserve">Kendi süreç mantığınızı koruyarak buluta geçmek isteyen şirketler için mimari tasarım, geçiş ve sağlayıcı koordinasyonu.</w:t>
      </w:r>
    </w:p>
    <w:p>
      <w:pPr>
        <w:spacing w:after="90" w:before="0" w:line="300"/>
      </w:pPr>
      <w:r>
        <w:rPr>
          <w:b/>
          <w:bCs/>
          <w:color w:val="475569"/>
          <w:sz w:val="15"/>
          <w:szCs w:val="15"/>
        </w:rPr>
        <w:t xml:space="preserve">EN</w:t>
      </w:r>
      <w:r>
        <w:t xml:space="preserve"> </w:t>
      </w:r>
      <w:r>
        <w:rPr>
          <w:color w:val="111827"/>
          <w:sz w:val="21"/>
          <w:szCs w:val="21"/>
        </w:rPr>
        <w:t xml:space="preserve">For organisations moving to cloud without giving up their own process logic: architecture, migration and provider coordination.</w:t>
      </w:r>
    </w:p>
    <w:p>
      <w:pPr>
        <w:pStyle w:val="Heading1"/>
        <w:pBdr>
          <w:bottom w:val="single" w:color="D1D5DB" w:sz="6" w:space="6"/>
        </w:pBdr>
        <w:spacing w:after="100" w:before="400"/>
      </w:pPr>
      <w:r>
        <w:rPr>
          <w:b/>
          <w:bCs/>
          <w:color w:val="111827"/>
          <w:sz w:val="30"/>
          <w:szCs w:val="30"/>
        </w:rPr>
        <w:t xml:space="preserve">Sayfa başlığı ve arama motoru metinleri</w:t>
      </w:r>
    </w:p>
    <w:p>
      <w:pPr>
        <w:spacing w:after="40" w:before="200"/>
      </w:pPr>
      <w:r>
        <w:rPr>
          <w:b/>
          <w:bCs/>
          <w:color w:val="6B7280"/>
          <w:sz w:val="16"/>
          <w:szCs w:val="16"/>
        </w:rPr>
        <w:t xml:space="preserve">BAŞLIK</w:t>
      </w:r>
    </w:p>
    <w:p>
      <w:pPr>
        <w:spacing w:after="90" w:before="0" w:line="300"/>
      </w:pPr>
      <w:r>
        <w:rPr>
          <w:b/>
          <w:bCs/>
          <w:color w:val="B45309"/>
          <w:sz w:val="15"/>
          <w:szCs w:val="15"/>
        </w:rPr>
        <w:t xml:space="preserve">TR</w:t>
      </w:r>
      <w:r>
        <w:t xml:space="preserve"> </w:t>
      </w:r>
      <w:r>
        <w:rPr>
          <w:color w:val="111827"/>
          <w:sz w:val="21"/>
          <w:szCs w:val="21"/>
        </w:rPr>
        <w:t xml:space="preserve">SAP Private Cloud: esnekliği korurken altyapıyı devretmek</w:t>
      </w:r>
    </w:p>
    <w:p>
      <w:pPr>
        <w:spacing w:after="90" w:before="0" w:line="300"/>
      </w:pPr>
      <w:r>
        <w:rPr>
          <w:b/>
          <w:bCs/>
          <w:color w:val="475569"/>
          <w:sz w:val="15"/>
          <w:szCs w:val="15"/>
        </w:rPr>
        <w:t xml:space="preserve">EN</w:t>
      </w:r>
      <w:r>
        <w:t xml:space="preserve"> </w:t>
      </w:r>
      <w:r>
        <w:rPr>
          <w:color w:val="111827"/>
          <w:sz w:val="21"/>
          <w:szCs w:val="21"/>
        </w:rPr>
        <w:t xml:space="preserve">SAP Private Cloud: hand over the infrastructure, keep the flexibility</w:t>
      </w:r>
    </w:p>
    <w:p>
      <w:pPr>
        <w:spacing w:after="40" w:before="200"/>
      </w:pPr>
      <w:r>
        <w:rPr>
          <w:b/>
          <w:bCs/>
          <w:color w:val="6B7280"/>
          <w:sz w:val="16"/>
          <w:szCs w:val="16"/>
        </w:rPr>
        <w:t xml:space="preserve">ARAMA SONUCU BAŞLIĞI</w:t>
      </w:r>
    </w:p>
    <w:p>
      <w:pPr>
        <w:spacing w:after="90" w:before="0" w:line="300"/>
      </w:pPr>
      <w:r>
        <w:rPr>
          <w:b/>
          <w:bCs/>
          <w:color w:val="B45309"/>
          <w:sz w:val="15"/>
          <w:szCs w:val="15"/>
        </w:rPr>
        <w:t xml:space="preserve">TR</w:t>
      </w:r>
      <w:r>
        <w:t xml:space="preserve"> </w:t>
      </w:r>
      <w:r>
        <w:rPr>
          <w:color w:val="111827"/>
          <w:sz w:val="21"/>
          <w:szCs w:val="21"/>
        </w:rPr>
        <w:t xml:space="preserve">SAP Private Cloud ve RISE with SAP Danışmanlığı | CPeak</w:t>
      </w:r>
    </w:p>
    <w:p>
      <w:pPr>
        <w:spacing w:after="90" w:before="0" w:line="300"/>
      </w:pPr>
      <w:r>
        <w:rPr>
          <w:b/>
          <w:bCs/>
          <w:color w:val="475569"/>
          <w:sz w:val="15"/>
          <w:szCs w:val="15"/>
        </w:rPr>
        <w:t xml:space="preserve">EN</w:t>
      </w:r>
      <w:r>
        <w:t xml:space="preserve"> </w:t>
      </w:r>
      <w:r>
        <w:rPr>
          <w:color w:val="111827"/>
          <w:sz w:val="21"/>
          <w:szCs w:val="21"/>
        </w:rPr>
        <w:t xml:space="preserve">SAP Private Cloud &amp; RISE with SAP Consulting | CPeak Consultancy</w:t>
      </w:r>
    </w:p>
    <w:p>
      <w:pPr>
        <w:spacing w:after="40" w:before="200"/>
      </w:pPr>
      <w:r>
        <w:rPr>
          <w:b/>
          <w:bCs/>
          <w:color w:val="6B7280"/>
          <w:sz w:val="16"/>
          <w:szCs w:val="16"/>
        </w:rPr>
        <w:t xml:space="preserve">ARAMA SONUCU AÇIKLAMASI</w:t>
      </w:r>
    </w:p>
    <w:p>
      <w:pPr>
        <w:spacing w:after="90" w:before="0" w:line="300"/>
      </w:pPr>
      <w:r>
        <w:rPr>
          <w:b/>
          <w:bCs/>
          <w:color w:val="B45309"/>
          <w:sz w:val="15"/>
          <w:szCs w:val="15"/>
        </w:rPr>
        <w:t xml:space="preserve">TR</w:t>
      </w:r>
      <w:r>
        <w:t xml:space="preserve"> </w:t>
      </w:r>
      <w:r>
        <w:rPr>
          <w:color w:val="111827"/>
          <w:sz w:val="21"/>
          <w:szCs w:val="21"/>
        </w:rPr>
        <w:t xml:space="preserve">RISE with SAP ve Cloud ERP Private Edition için mimari tasarım, sorumluluk sınırlarının netleştirilmesi, geçiş yönetimi ve finans süreç dönüşümü.</w:t>
      </w:r>
    </w:p>
    <w:p>
      <w:pPr>
        <w:spacing w:after="90" w:before="0" w:line="300"/>
      </w:pPr>
      <w:r>
        <w:rPr>
          <w:b/>
          <w:bCs/>
          <w:color w:val="475569"/>
          <w:sz w:val="15"/>
          <w:szCs w:val="15"/>
        </w:rPr>
        <w:t xml:space="preserve">EN</w:t>
      </w:r>
      <w:r>
        <w:t xml:space="preserve"> </w:t>
      </w:r>
      <w:r>
        <w:rPr>
          <w:color w:val="111827"/>
          <w:sz w:val="21"/>
          <w:szCs w:val="21"/>
        </w:rPr>
        <w:t xml:space="preserve">Architecture design, responsibility boundary definition, migration management and finance transformation for RISE with SAP and Cloud ERP Private Edition.</w:t>
      </w:r>
    </w:p>
    <w:p>
      <w:pPr>
        <w:spacing w:after="40" w:before="200"/>
      </w:pPr>
      <w:r>
        <w:rPr>
          <w:b/>
          <w:bCs/>
          <w:color w:val="6B7280"/>
          <w:sz w:val="16"/>
          <w:szCs w:val="16"/>
        </w:rPr>
        <w:t xml:space="preserve">HİZMET TÜRÜ (TEKNİK ETİKET)</w:t>
      </w:r>
    </w:p>
    <w:p>
      <w:pPr>
        <w:spacing w:after="60"/>
      </w:pPr>
      <w:r>
        <w:rPr>
          <w:i/>
          <w:iCs/>
          <w:color w:val="6B7280"/>
          <w:sz w:val="16"/>
          <w:szCs w:val="16"/>
        </w:rPr>
        <w:t xml:space="preserve">Arama motorlarına gönderilen teknik etiket. Sayfada görünmez.</w:t>
      </w:r>
    </w:p>
    <w:p>
      <w:pPr>
        <w:spacing w:after="90" w:before="0" w:line="300"/>
      </w:pPr>
      <w:r>
        <w:rPr>
          <w:b/>
          <w:bCs/>
          <w:color w:val="B45309"/>
          <w:sz w:val="15"/>
          <w:szCs w:val="15"/>
        </w:rPr>
        <w:t xml:space="preserve">TR</w:t>
      </w:r>
      <w:r>
        <w:t xml:space="preserve"> </w:t>
      </w:r>
      <w:r>
        <w:rPr>
          <w:color w:val="111827"/>
          <w:sz w:val="21"/>
          <w:szCs w:val="21"/>
        </w:rPr>
        <w:t xml:space="preserve">SAP Cloud ERP Private Edition consulting</w:t>
      </w:r>
    </w:p>
    <w:p>
      <w:pPr>
        <w:spacing w:after="90" w:before="0" w:line="300"/>
      </w:pPr>
      <w:r>
        <w:rPr>
          <w:b/>
          <w:bCs/>
          <w:color w:val="475569"/>
          <w:sz w:val="15"/>
          <w:szCs w:val="15"/>
        </w:rPr>
        <w:t xml:space="preserve">EN</w:t>
      </w:r>
      <w:r>
        <w:t xml:space="preserve"> </w:t>
      </w:r>
      <w:r>
        <w:rPr>
          <w:color w:val="111827"/>
          <w:sz w:val="21"/>
          <w:szCs w:val="21"/>
        </w:rPr>
        <w:t xml:space="preserve">SAP Cloud ERP Private Edition consulting</w:t>
      </w:r>
    </w:p>
    <w:p>
      <w:pPr>
        <w:pStyle w:val="Heading1"/>
        <w:pBdr>
          <w:bottom w:val="single" w:color="D1D5DB" w:sz="6" w:space="6"/>
        </w:pBdr>
        <w:spacing w:after="100" w:before="400"/>
      </w:pPr>
      <w:r>
        <w:rPr>
          <w:b/>
          <w:bCs/>
          <w:color w:val="111827"/>
          <w:sz w:val="30"/>
          <w:szCs w:val="30"/>
        </w:rPr>
        <w:t xml:space="preserve">Özet</w:t>
      </w:r>
    </w:p>
    <w:p>
      <w:pPr>
        <w:spacing w:after="40" w:before="200"/>
      </w:pPr>
      <w:r>
        <w:rPr>
          <w:b/>
          <w:bCs/>
          <w:color w:val="6B7280"/>
          <w:sz w:val="16"/>
          <w:szCs w:val="16"/>
        </w:rPr>
        <w:t xml:space="preserve">ÖZET PARAGRAFI</w:t>
      </w:r>
    </w:p>
    <w:p>
      <w:pPr>
        <w:spacing w:after="90" w:before="0" w:line="300"/>
      </w:pPr>
      <w:r>
        <w:rPr>
          <w:b/>
          <w:bCs/>
          <w:color w:val="B45309"/>
          <w:sz w:val="15"/>
          <w:szCs w:val="15"/>
        </w:rPr>
        <w:t xml:space="preserve">TR</w:t>
      </w:r>
      <w:r>
        <w:t xml:space="preserve"> </w:t>
      </w:r>
      <w:r>
        <w:rPr>
          <w:color w:val="111827"/>
          <w:sz w:val="21"/>
          <w:szCs w:val="21"/>
        </w:rPr>
        <w:t xml:space="preserve">Private Cloud, S/4HANA’nın esnekliğini korurken altyapı işletimini devretmenizi sağlar. Zorluk teknolojide değil, sorumluluk sınırlarındadır: RISE sözleşmesinin neyi kapsayıp neyi kapsamadığı çoğu şirkette projenin ortasında anlaşılır.</w:t>
      </w:r>
    </w:p>
    <w:p>
      <w:pPr>
        <w:spacing w:after="90" w:before="0" w:line="300"/>
      </w:pPr>
      <w:r>
        <w:rPr>
          <w:b/>
          <w:bCs/>
          <w:color w:val="475569"/>
          <w:sz w:val="15"/>
          <w:szCs w:val="15"/>
        </w:rPr>
        <w:t xml:space="preserve">EN</w:t>
      </w:r>
      <w:r>
        <w:t xml:space="preserve"> </w:t>
      </w:r>
      <w:r>
        <w:rPr>
          <w:color w:val="111827"/>
          <w:sz w:val="21"/>
          <w:szCs w:val="21"/>
        </w:rPr>
        <w:t xml:space="preserve">Private Cloud lets you keep the flexibility of S/4HANA while handing infrastructure operation to someone else. The difficulty is rarely technical. It sits in the responsibility boundaries — what the RISE contract does and does not cover is something most organisations discover mid-project.</w:t>
      </w:r>
    </w:p>
    <w:p>
      <w:pPr>
        <w:pStyle w:val="Heading1"/>
        <w:pBdr>
          <w:bottom w:val="single" w:color="D1D5DB" w:sz="6" w:space="6"/>
        </w:pBdr>
        <w:spacing w:after="100" w:before="400"/>
      </w:pPr>
      <w:r>
        <w:rPr>
          <w:b/>
          <w:bCs/>
          <w:color w:val="111827"/>
          <w:sz w:val="30"/>
          <w:szCs w:val="30"/>
        </w:rPr>
        <w:t xml:space="preserve">Kimler için</w:t>
      </w:r>
    </w:p>
    <w:p>
      <w:pPr>
        <w:spacing w:after="40" w:before="120" w:line="300"/>
        <w:ind w:left="400" w:hanging="400"/>
      </w:pPr>
      <w:r>
        <w:rPr>
          <w:b/>
          <w:bCs/>
          <w:color w:val="6B7280"/>
          <w:sz w:val="19"/>
          <w:szCs w:val="19"/>
        </w:rPr>
        <w:t xml:space="preserve">1.</w:t>
      </w:r>
      <w:r>
        <w:t xml:space="preserve"> </w:t>
      </w:r>
      <w:r>
        <w:rPr>
          <w:b/>
          <w:bCs/>
          <w:color w:val="B45309"/>
          <w:sz w:val="15"/>
          <w:szCs w:val="15"/>
        </w:rPr>
        <w:t xml:space="preserve">TR</w:t>
      </w:r>
      <w:r>
        <w:t xml:space="preserve"> </w:t>
      </w:r>
      <w:r>
        <w:rPr>
          <w:color w:val="111827"/>
          <w:sz w:val="21"/>
          <w:szCs w:val="21"/>
        </w:rPr>
        <w:t xml:space="preserve">Sektörüne özgü süreçleri nedeniyle standart kapsama sığmayan üretim, perakende ve enerji şirketleri</w:t>
      </w:r>
    </w:p>
    <w:p>
      <w:pPr>
        <w:spacing w:after="60" w:before="0" w:line="300"/>
        <w:ind w:left="400"/>
      </w:pPr>
      <w:r>
        <w:rPr>
          <w:b/>
          <w:bCs/>
          <w:color w:val="475569"/>
          <w:sz w:val="15"/>
          <w:szCs w:val="15"/>
        </w:rPr>
        <w:t xml:space="preserve">EN</w:t>
      </w:r>
      <w:r>
        <w:t xml:space="preserve"> </w:t>
      </w:r>
      <w:r>
        <w:rPr>
          <w:color w:val="111827"/>
          <w:sz w:val="21"/>
          <w:szCs w:val="21"/>
        </w:rPr>
        <w:t xml:space="preserve">Manufacturing, retail and energy businesses whose industry processes do not fit standard scope</w:t>
      </w:r>
    </w:p>
    <w:p>
      <w:pPr>
        <w:spacing w:after="40" w:before="120" w:line="300"/>
        <w:ind w:left="400" w:hanging="400"/>
      </w:pPr>
      <w:r>
        <w:rPr>
          <w:b/>
          <w:bCs/>
          <w:color w:val="6B7280"/>
          <w:sz w:val="19"/>
          <w:szCs w:val="19"/>
        </w:rPr>
        <w:t xml:space="preserve">2.</w:t>
      </w:r>
      <w:r>
        <w:t xml:space="preserve"> </w:t>
      </w:r>
      <w:r>
        <w:rPr>
          <w:b/>
          <w:bCs/>
          <w:color w:val="B45309"/>
          <w:sz w:val="15"/>
          <w:szCs w:val="15"/>
        </w:rPr>
        <w:t xml:space="preserve">TR</w:t>
      </w:r>
      <w:r>
        <w:t xml:space="preserve"> </w:t>
      </w:r>
      <w:r>
        <w:rPr>
          <w:color w:val="111827"/>
          <w:sz w:val="21"/>
          <w:szCs w:val="21"/>
        </w:rPr>
        <w:t xml:space="preserve">Ağır entegrasyon ve özelleştirme mirası taşıyan, bunu tek seferde bırakamayacak organizasyonlar</w:t>
      </w:r>
    </w:p>
    <w:p>
      <w:pPr>
        <w:spacing w:after="60" w:before="0" w:line="300"/>
        <w:ind w:left="400"/>
      </w:pPr>
      <w:r>
        <w:rPr>
          <w:b/>
          <w:bCs/>
          <w:color w:val="475569"/>
          <w:sz w:val="15"/>
          <w:szCs w:val="15"/>
        </w:rPr>
        <w:t xml:space="preserve">EN</w:t>
      </w:r>
      <w:r>
        <w:t xml:space="preserve"> </w:t>
      </w:r>
      <w:r>
        <w:rPr>
          <w:color w:val="111827"/>
          <w:sz w:val="21"/>
          <w:szCs w:val="21"/>
        </w:rPr>
        <w:t xml:space="preserve">Organisations carrying heavy integration and customisation history that cannot be abandoned in one step</w:t>
      </w:r>
    </w:p>
    <w:p>
      <w:pPr>
        <w:spacing w:after="40" w:before="120" w:line="300"/>
        <w:ind w:left="400" w:hanging="400"/>
      </w:pPr>
      <w:r>
        <w:rPr>
          <w:b/>
          <w:bCs/>
          <w:color w:val="6B7280"/>
          <w:sz w:val="19"/>
          <w:szCs w:val="19"/>
        </w:rPr>
        <w:t xml:space="preserve">3.</w:t>
      </w:r>
      <w:r>
        <w:t xml:space="preserve"> </w:t>
      </w:r>
      <w:r>
        <w:rPr>
          <w:b/>
          <w:bCs/>
          <w:color w:val="B45309"/>
          <w:sz w:val="15"/>
          <w:szCs w:val="15"/>
        </w:rPr>
        <w:t xml:space="preserve">TR</w:t>
      </w:r>
      <w:r>
        <w:t xml:space="preserve"> </w:t>
      </w:r>
      <w:r>
        <w:rPr>
          <w:color w:val="111827"/>
          <w:sz w:val="21"/>
          <w:szCs w:val="21"/>
        </w:rPr>
        <w:t xml:space="preserve">RISE with SAP sözleşmesi imzalamış ya da imzalamak üzere olan ve kendi tarafındaki işi netleştirmek isteyen şirketler</w:t>
      </w:r>
    </w:p>
    <w:p>
      <w:pPr>
        <w:spacing w:after="60" w:before="0" w:line="300"/>
        <w:ind w:left="400"/>
      </w:pPr>
      <w:r>
        <w:rPr>
          <w:b/>
          <w:bCs/>
          <w:color w:val="475569"/>
          <w:sz w:val="15"/>
          <w:szCs w:val="15"/>
        </w:rPr>
        <w:t xml:space="preserve">EN</w:t>
      </w:r>
      <w:r>
        <w:t xml:space="preserve"> </w:t>
      </w:r>
      <w:r>
        <w:rPr>
          <w:color w:val="111827"/>
          <w:sz w:val="21"/>
          <w:szCs w:val="21"/>
        </w:rPr>
        <w:t xml:space="preserve">Companies that have signed or are about to sign a RISE with SAP agreement and want clarity on what remains theirs</w:t>
      </w:r>
    </w:p>
    <w:p>
      <w:pPr>
        <w:spacing w:after="40" w:before="120" w:line="300"/>
        <w:ind w:left="400" w:hanging="400"/>
      </w:pPr>
      <w:r>
        <w:rPr>
          <w:b/>
          <w:bCs/>
          <w:color w:val="6B7280"/>
          <w:sz w:val="19"/>
          <w:szCs w:val="19"/>
        </w:rPr>
        <w:t xml:space="preserve">4.</w:t>
      </w:r>
      <w:r>
        <w:t xml:space="preserve"> </w:t>
      </w:r>
      <w:r>
        <w:rPr>
          <w:b/>
          <w:bCs/>
          <w:color w:val="B45309"/>
          <w:sz w:val="15"/>
          <w:szCs w:val="15"/>
        </w:rPr>
        <w:t xml:space="preserve">TR</w:t>
      </w:r>
      <w:r>
        <w:t xml:space="preserve"> </w:t>
      </w:r>
      <w:r>
        <w:rPr>
          <w:color w:val="111827"/>
          <w:sz w:val="21"/>
          <w:szCs w:val="21"/>
        </w:rPr>
        <w:t xml:space="preserve">Veri yerleşimi ve denetim gereksinimleri nedeniyle daha fazla kontrol isteyen düzenlenmiş sektörler</w:t>
      </w:r>
    </w:p>
    <w:p>
      <w:pPr>
        <w:spacing w:after="60" w:before="0" w:line="300"/>
        <w:ind w:left="400"/>
      </w:pPr>
      <w:r>
        <w:rPr>
          <w:b/>
          <w:bCs/>
          <w:color w:val="475569"/>
          <w:sz w:val="15"/>
          <w:szCs w:val="15"/>
        </w:rPr>
        <w:t xml:space="preserve">EN</w:t>
      </w:r>
      <w:r>
        <w:t xml:space="preserve"> </w:t>
      </w:r>
      <w:r>
        <w:rPr>
          <w:color w:val="111827"/>
          <w:sz w:val="21"/>
          <w:szCs w:val="21"/>
        </w:rPr>
        <w:t xml:space="preserve">Regulated industries needing more control over data residency and audit</w:t>
      </w:r>
    </w:p>
    <w:p>
      <w:pPr>
        <w:pStyle w:val="Heading1"/>
        <w:pBdr>
          <w:bottom w:val="single" w:color="D1D5DB" w:sz="6" w:space="6"/>
        </w:pBdr>
        <w:spacing w:after="100" w:before="400"/>
      </w:pPr>
      <w:r>
        <w:rPr>
          <w:b/>
          <w:bCs/>
          <w:color w:val="111827"/>
          <w:sz w:val="30"/>
          <w:szCs w:val="30"/>
        </w:rPr>
        <w:t xml:space="preserve">Karşılaşılan zorluklar</w:t>
      </w:r>
    </w:p>
    <w:p>
      <w:pPr>
        <w:spacing w:after="40" w:before="120" w:line="300"/>
        <w:ind w:left="400" w:hanging="400"/>
      </w:pPr>
      <w:r>
        <w:rPr>
          <w:b/>
          <w:bCs/>
          <w:color w:val="6B7280"/>
          <w:sz w:val="19"/>
          <w:szCs w:val="19"/>
        </w:rPr>
        <w:t xml:space="preserve">1.</w:t>
      </w:r>
      <w:r>
        <w:t xml:space="preserve"> </w:t>
      </w:r>
      <w:r>
        <w:rPr>
          <w:b/>
          <w:bCs/>
          <w:color w:val="B45309"/>
          <w:sz w:val="15"/>
          <w:szCs w:val="15"/>
        </w:rPr>
        <w:t xml:space="preserve">TR</w:t>
      </w:r>
      <w:r>
        <w:t xml:space="preserve"> </w:t>
      </w:r>
      <w:r>
        <w:rPr>
          <w:color w:val="111827"/>
          <w:sz w:val="21"/>
          <w:szCs w:val="21"/>
        </w:rPr>
        <w:t xml:space="preserve">RISE kapsamının nerede bitip kendi sorumluluğunuzun nerede başladığı sözleşmeden net okunmuyor.</w:t>
      </w:r>
    </w:p>
    <w:p>
      <w:pPr>
        <w:spacing w:after="60" w:before="0" w:line="300"/>
        <w:ind w:left="400"/>
      </w:pPr>
      <w:r>
        <w:rPr>
          <w:b/>
          <w:bCs/>
          <w:color w:val="475569"/>
          <w:sz w:val="15"/>
          <w:szCs w:val="15"/>
        </w:rPr>
        <w:t xml:space="preserve">EN</w:t>
      </w:r>
      <w:r>
        <w:t xml:space="preserve"> </w:t>
      </w:r>
      <w:r>
        <w:rPr>
          <w:color w:val="111827"/>
          <w:sz w:val="21"/>
          <w:szCs w:val="21"/>
        </w:rPr>
        <w:t xml:space="preserve">Where the RISE scope ends and your own responsibility begins cannot be read clearly from the contract.</w:t>
      </w:r>
    </w:p>
    <w:p>
      <w:pPr>
        <w:spacing w:after="40" w:before="120" w:line="300"/>
        <w:ind w:left="400" w:hanging="400"/>
      </w:pPr>
      <w:r>
        <w:rPr>
          <w:b/>
          <w:bCs/>
          <w:color w:val="6B7280"/>
          <w:sz w:val="19"/>
          <w:szCs w:val="19"/>
        </w:rPr>
        <w:t xml:space="preserve">2.</w:t>
      </w:r>
      <w:r>
        <w:t xml:space="preserve"> </w:t>
      </w:r>
      <w:r>
        <w:rPr>
          <w:b/>
          <w:bCs/>
          <w:color w:val="B45309"/>
          <w:sz w:val="15"/>
          <w:szCs w:val="15"/>
        </w:rPr>
        <w:t xml:space="preserve">TR</w:t>
      </w:r>
      <w:r>
        <w:t xml:space="preserve"> </w:t>
      </w:r>
      <w:r>
        <w:rPr>
          <w:color w:val="111827"/>
          <w:sz w:val="21"/>
          <w:szCs w:val="21"/>
        </w:rPr>
        <w:t xml:space="preserve">Altyapı sağlayıcısı, uygulama danışmanı ve iç ekip arasındaki sorumluluk boşlukları proje ortasında ortaya çıkıyor.</w:t>
      </w:r>
    </w:p>
    <w:p>
      <w:pPr>
        <w:spacing w:after="60" w:before="0" w:line="300"/>
        <w:ind w:left="400"/>
      </w:pPr>
      <w:r>
        <w:rPr>
          <w:b/>
          <w:bCs/>
          <w:color w:val="475569"/>
          <w:sz w:val="15"/>
          <w:szCs w:val="15"/>
        </w:rPr>
        <w:t xml:space="preserve">EN</w:t>
      </w:r>
      <w:r>
        <w:t xml:space="preserve"> </w:t>
      </w:r>
      <w:r>
        <w:rPr>
          <w:color w:val="111827"/>
          <w:sz w:val="21"/>
          <w:szCs w:val="21"/>
        </w:rPr>
        <w:t xml:space="preserve">Gaps between the hosting provider, the implementation partner and the internal team surface mid-project.</w:t>
      </w:r>
    </w:p>
    <w:p>
      <w:pPr>
        <w:spacing w:after="40" w:before="120" w:line="300"/>
        <w:ind w:left="400" w:hanging="400"/>
      </w:pPr>
      <w:r>
        <w:rPr>
          <w:b/>
          <w:bCs/>
          <w:color w:val="6B7280"/>
          <w:sz w:val="19"/>
          <w:szCs w:val="19"/>
        </w:rPr>
        <w:t xml:space="preserve">3.</w:t>
      </w:r>
      <w:r>
        <w:t xml:space="preserve"> </w:t>
      </w:r>
      <w:r>
        <w:rPr>
          <w:b/>
          <w:bCs/>
          <w:color w:val="B45309"/>
          <w:sz w:val="15"/>
          <w:szCs w:val="15"/>
        </w:rPr>
        <w:t xml:space="preserve">TR</w:t>
      </w:r>
      <w:r>
        <w:t xml:space="preserve"> </w:t>
      </w:r>
      <w:r>
        <w:rPr>
          <w:color w:val="111827"/>
          <w:sz w:val="21"/>
          <w:szCs w:val="21"/>
        </w:rPr>
        <w:t xml:space="preserve">Mevcut özelleştirme ve entegrasyonların bulut ortamında nasıl çalışacağı test edilmeden varsayılıyor.</w:t>
      </w:r>
    </w:p>
    <w:p>
      <w:pPr>
        <w:spacing w:after="60" w:before="0" w:line="300"/>
        <w:ind w:left="400"/>
      </w:pPr>
      <w:r>
        <w:rPr>
          <w:b/>
          <w:bCs/>
          <w:color w:val="475569"/>
          <w:sz w:val="15"/>
          <w:szCs w:val="15"/>
        </w:rPr>
        <w:t xml:space="preserve">EN</w:t>
      </w:r>
      <w:r>
        <w:t xml:space="preserve"> </w:t>
      </w:r>
      <w:r>
        <w:rPr>
          <w:color w:val="111827"/>
          <w:sz w:val="21"/>
          <w:szCs w:val="21"/>
        </w:rPr>
        <w:t xml:space="preserve">How existing customisations and interfaces will behave in the hosted environment is assumed rather than tested.</w:t>
      </w:r>
    </w:p>
    <w:p>
      <w:pPr>
        <w:spacing w:after="40" w:before="120" w:line="300"/>
        <w:ind w:left="400" w:hanging="400"/>
      </w:pPr>
      <w:r>
        <w:rPr>
          <w:b/>
          <w:bCs/>
          <w:color w:val="6B7280"/>
          <w:sz w:val="19"/>
          <w:szCs w:val="19"/>
        </w:rPr>
        <w:t xml:space="preserve">4.</w:t>
      </w:r>
      <w:r>
        <w:t xml:space="preserve"> </w:t>
      </w:r>
      <w:r>
        <w:rPr>
          <w:b/>
          <w:bCs/>
          <w:color w:val="B45309"/>
          <w:sz w:val="15"/>
          <w:szCs w:val="15"/>
        </w:rPr>
        <w:t xml:space="preserve">TR</w:t>
      </w:r>
      <w:r>
        <w:t xml:space="preserve"> </w:t>
      </w:r>
      <w:r>
        <w:rPr>
          <w:color w:val="111827"/>
          <w:sz w:val="21"/>
          <w:szCs w:val="21"/>
        </w:rPr>
        <w:t xml:space="preserve">Performans ve kapasite planlaması lisans boyutlandırmasıyla karıştırılıyor.</w:t>
      </w:r>
    </w:p>
    <w:p>
      <w:pPr>
        <w:spacing w:after="60" w:before="0" w:line="300"/>
        <w:ind w:left="400"/>
      </w:pPr>
      <w:r>
        <w:rPr>
          <w:b/>
          <w:bCs/>
          <w:color w:val="475569"/>
          <w:sz w:val="15"/>
          <w:szCs w:val="15"/>
        </w:rPr>
        <w:t xml:space="preserve">EN</w:t>
      </w:r>
      <w:r>
        <w:t xml:space="preserve"> </w:t>
      </w:r>
      <w:r>
        <w:rPr>
          <w:color w:val="111827"/>
          <w:sz w:val="21"/>
          <w:szCs w:val="21"/>
        </w:rPr>
        <w:t xml:space="preserve">Capacity planning gets conflated with licence sizing.</w:t>
      </w:r>
    </w:p>
    <w:p>
      <w:pPr>
        <w:spacing w:after="40" w:before="120" w:line="300"/>
        <w:ind w:left="400" w:hanging="400"/>
      </w:pPr>
      <w:r>
        <w:rPr>
          <w:b/>
          <w:bCs/>
          <w:color w:val="6B7280"/>
          <w:sz w:val="19"/>
          <w:szCs w:val="19"/>
        </w:rPr>
        <w:t xml:space="preserve">5.</w:t>
      </w:r>
      <w:r>
        <w:t xml:space="preserve"> </w:t>
      </w:r>
      <w:r>
        <w:rPr>
          <w:b/>
          <w:bCs/>
          <w:color w:val="B45309"/>
          <w:sz w:val="15"/>
          <w:szCs w:val="15"/>
        </w:rPr>
        <w:t xml:space="preserve">TR</w:t>
      </w:r>
      <w:r>
        <w:t xml:space="preserve"> </w:t>
      </w:r>
      <w:r>
        <w:rPr>
          <w:color w:val="111827"/>
          <w:sz w:val="21"/>
          <w:szCs w:val="21"/>
        </w:rPr>
        <w:t xml:space="preserve">Felaket kurtarma ve iş sürekliliği taahhütleri, iş biriminin beklentisiyle örtüşmüyor.</w:t>
      </w:r>
    </w:p>
    <w:p>
      <w:pPr>
        <w:spacing w:after="60" w:before="0" w:line="300"/>
        <w:ind w:left="400"/>
      </w:pPr>
      <w:r>
        <w:rPr>
          <w:b/>
          <w:bCs/>
          <w:color w:val="475569"/>
          <w:sz w:val="15"/>
          <w:szCs w:val="15"/>
        </w:rPr>
        <w:t xml:space="preserve">EN</w:t>
      </w:r>
      <w:r>
        <w:t xml:space="preserve"> </w:t>
      </w:r>
      <w:r>
        <w:rPr>
          <w:color w:val="111827"/>
          <w:sz w:val="21"/>
          <w:szCs w:val="21"/>
        </w:rPr>
        <w:t xml:space="preserve">Disaster recovery commitments do not match what the business assumes it has.</w:t>
      </w:r>
    </w:p>
    <w:p>
      <w:pPr>
        <w:pStyle w:val="Heading1"/>
        <w:pBdr>
          <w:bottom w:val="single" w:color="D1D5DB" w:sz="6" w:space="6"/>
        </w:pBdr>
        <w:spacing w:after="100" w:before="400"/>
      </w:pPr>
      <w:r>
        <w:rPr>
          <w:b/>
          <w:bCs/>
          <w:color w:val="111827"/>
          <w:sz w:val="30"/>
          <w:szCs w:val="30"/>
        </w:rPr>
        <w:t xml:space="preserve">Ne yapıyoruz</w:t>
      </w:r>
    </w:p>
    <w:p>
      <w:pPr>
        <w:pStyle w:val="Heading2"/>
        <w:spacing w:after="100" w:before="280"/>
      </w:pPr>
      <w:r>
        <w:rPr>
          <w:b/>
          <w:bCs/>
          <w:color w:val="111827"/>
          <w:sz w:val="25"/>
          <w:szCs w:val="25"/>
        </w:rPr>
        <w:t xml:space="preserve">1. Sorumluluk sınırlarının netleştirilmesi</w:t>
      </w:r>
    </w:p>
    <w:p>
      <w:pPr>
        <w:spacing w:after="40" w:before="200"/>
      </w:pPr>
      <w:r>
        <w:rPr>
          <w:b/>
          <w:bCs/>
          <w:color w:val="6B7280"/>
          <w:sz w:val="16"/>
          <w:szCs w:val="16"/>
        </w:rPr>
        <w:t xml:space="preserve">ALT BAŞLIK</w:t>
      </w:r>
    </w:p>
    <w:p>
      <w:pPr>
        <w:spacing w:after="90" w:before="0" w:line="300"/>
      </w:pPr>
      <w:r>
        <w:rPr>
          <w:b/>
          <w:bCs/>
          <w:color w:val="B45309"/>
          <w:sz w:val="15"/>
          <w:szCs w:val="15"/>
        </w:rPr>
        <w:t xml:space="preserve">TR</w:t>
      </w:r>
      <w:r>
        <w:t xml:space="preserve"> </w:t>
      </w:r>
      <w:r>
        <w:rPr>
          <w:color w:val="111827"/>
          <w:sz w:val="21"/>
          <w:szCs w:val="21"/>
        </w:rPr>
        <w:t xml:space="preserve">Sorumluluk sınırlarının netleştirilmesi</w:t>
      </w:r>
    </w:p>
    <w:p>
      <w:pPr>
        <w:spacing w:after="90" w:before="0" w:line="300"/>
      </w:pPr>
      <w:r>
        <w:rPr>
          <w:b/>
          <w:bCs/>
          <w:color w:val="475569"/>
          <w:sz w:val="15"/>
          <w:szCs w:val="15"/>
        </w:rPr>
        <w:t xml:space="preserve">EN</w:t>
      </w:r>
      <w:r>
        <w:t xml:space="preserve"> </w:t>
      </w:r>
      <w:r>
        <w:rPr>
          <w:color w:val="111827"/>
          <w:sz w:val="21"/>
          <w:szCs w:val="21"/>
        </w:rPr>
        <w:t xml:space="preserve">Defining the responsibility boundaries</w:t>
      </w:r>
    </w:p>
    <w:p>
      <w:pPr>
        <w:pStyle w:val="Heading3"/>
        <w:spacing w:after="100" w:before="280"/>
      </w:pPr>
      <w:r>
        <w:rPr>
          <w:b/>
          <w:bCs/>
          <w:color w:val="111827"/>
          <w:sz w:val="22"/>
          <w:szCs w:val="22"/>
        </w:rPr>
        <w:t xml:space="preserve">Metin</w:t>
      </w:r>
    </w:p>
    <w:p>
      <w:pPr>
        <w:spacing w:after="40" w:before="120" w:line="300"/>
        <w:ind w:left="400" w:hanging="400"/>
      </w:pPr>
      <w:r>
        <w:rPr>
          <w:b/>
          <w:bCs/>
          <w:color w:val="6B7280"/>
          <w:sz w:val="19"/>
          <w:szCs w:val="19"/>
        </w:rPr>
        <w:t xml:space="preserve">1.</w:t>
      </w:r>
      <w:r>
        <w:t xml:space="preserve"> </w:t>
      </w:r>
      <w:r>
        <w:rPr>
          <w:b/>
          <w:bCs/>
          <w:color w:val="B45309"/>
          <w:sz w:val="15"/>
          <w:szCs w:val="15"/>
        </w:rPr>
        <w:t xml:space="preserve">TR</w:t>
      </w:r>
      <w:r>
        <w:t xml:space="preserve"> </w:t>
      </w:r>
      <w:r>
        <w:rPr>
          <w:color w:val="111827"/>
          <w:sz w:val="21"/>
          <w:szCs w:val="21"/>
        </w:rPr>
        <w:t xml:space="preserve">Private Cloud projelerinde en sık görülen sorun teknik değildir: sağlayıcının, uygulama danışmanının ve iç ekibin sorumluluklarının kesişmediği boşluklardır. Yedekleme kimde, sistem kopyası kimden talep edilir, performans sorununda ilk kim bakar, transport yönetimi kimde — bunları proje başında tek bir sorumluluk matrisinde yazılı hâle getiririz.</w:t>
      </w:r>
    </w:p>
    <w:p>
      <w:pPr>
        <w:spacing w:after="60" w:before="0" w:line="300"/>
        <w:ind w:left="400"/>
      </w:pPr>
      <w:r>
        <w:rPr>
          <w:b/>
          <w:bCs/>
          <w:color w:val="475569"/>
          <w:sz w:val="15"/>
          <w:szCs w:val="15"/>
        </w:rPr>
        <w:t xml:space="preserve">EN</w:t>
      </w:r>
      <w:r>
        <w:t xml:space="preserve"> </w:t>
      </w:r>
      <w:r>
        <w:rPr>
          <w:color w:val="111827"/>
          <w:sz w:val="21"/>
          <w:szCs w:val="21"/>
        </w:rPr>
        <w:t xml:space="preserve">The most common failure in these programmes is not technical. It is the space between three parties where nobody owns the work: who takes the backup, who requests a system copy, who investigates a performance complaint first, who controls transport management. We put all of it into a single responsibility matrix at the start of the project.</w:t>
      </w:r>
    </w:p>
    <w:p>
      <w:pPr>
        <w:spacing w:after="40" w:before="120" w:line="300"/>
        <w:ind w:left="400" w:hanging="400"/>
      </w:pPr>
      <w:r>
        <w:rPr>
          <w:b/>
          <w:bCs/>
          <w:color w:val="6B7280"/>
          <w:sz w:val="19"/>
          <w:szCs w:val="19"/>
        </w:rPr>
        <w:t xml:space="preserve">2.</w:t>
      </w:r>
      <w:r>
        <w:t xml:space="preserve"> </w:t>
      </w:r>
      <w:r>
        <w:rPr>
          <w:b/>
          <w:bCs/>
          <w:color w:val="B45309"/>
          <w:sz w:val="15"/>
          <w:szCs w:val="15"/>
        </w:rPr>
        <w:t xml:space="preserve">TR</w:t>
      </w:r>
      <w:r>
        <w:t xml:space="preserve"> </w:t>
      </w:r>
      <w:r>
        <w:rPr>
          <w:color w:val="111827"/>
          <w:sz w:val="21"/>
          <w:szCs w:val="21"/>
        </w:rPr>
        <w:t xml:space="preserve">Bu matris sıkıcı görünür ama projeyi kurtaran belge çoğunlukla odur. RISE sözleşmesini kapsam açısından okur, sizin tarafınızda kalan işleri açıkça listeleriz; bu liste bütçe planlamasının da temelini oluşturur.</w:t>
      </w:r>
    </w:p>
    <w:p>
      <w:pPr>
        <w:spacing w:after="60" w:before="0" w:line="300"/>
        <w:ind w:left="400"/>
      </w:pPr>
      <w:r>
        <w:rPr>
          <w:b/>
          <w:bCs/>
          <w:color w:val="475569"/>
          <w:sz w:val="15"/>
          <w:szCs w:val="15"/>
        </w:rPr>
        <w:t xml:space="preserve">EN</w:t>
      </w:r>
      <w:r>
        <w:t xml:space="preserve"> </w:t>
      </w:r>
      <w:r>
        <w:rPr>
          <w:color w:val="111827"/>
          <w:sz w:val="21"/>
          <w:szCs w:val="21"/>
        </w:rPr>
        <w:t xml:space="preserve">The matrix looks like an administrative document and turns out to be the one that saves the programme. We read the RISE agreement specifically for scope and list what remains on your side — that list is also the basis for a realistic budget.</w:t>
      </w:r>
    </w:p>
    <w:p>
      <w:pPr>
        <w:pStyle w:val="Heading2"/>
        <w:spacing w:after="100" w:before="280"/>
      </w:pPr>
      <w:r>
        <w:rPr>
          <w:b/>
          <w:bCs/>
          <w:color w:val="111827"/>
          <w:sz w:val="25"/>
          <w:szCs w:val="25"/>
        </w:rPr>
        <w:t xml:space="preserve">2. Hedef mimari ve boyutlandırma</w:t>
      </w:r>
    </w:p>
    <w:p>
      <w:pPr>
        <w:spacing w:after="40" w:before="200"/>
      </w:pPr>
      <w:r>
        <w:rPr>
          <w:b/>
          <w:bCs/>
          <w:color w:val="6B7280"/>
          <w:sz w:val="16"/>
          <w:szCs w:val="16"/>
        </w:rPr>
        <w:t xml:space="preserve">ALT BAŞLIK</w:t>
      </w:r>
    </w:p>
    <w:p>
      <w:pPr>
        <w:spacing w:after="90" w:before="0" w:line="300"/>
      </w:pPr>
      <w:r>
        <w:rPr>
          <w:b/>
          <w:bCs/>
          <w:color w:val="B45309"/>
          <w:sz w:val="15"/>
          <w:szCs w:val="15"/>
        </w:rPr>
        <w:t xml:space="preserve">TR</w:t>
      </w:r>
      <w:r>
        <w:t xml:space="preserve"> </w:t>
      </w:r>
      <w:r>
        <w:rPr>
          <w:color w:val="111827"/>
          <w:sz w:val="21"/>
          <w:szCs w:val="21"/>
        </w:rPr>
        <w:t xml:space="preserve">Hedef mimari ve boyutlandırma</w:t>
      </w:r>
    </w:p>
    <w:p>
      <w:pPr>
        <w:spacing w:after="90" w:before="0" w:line="300"/>
      </w:pPr>
      <w:r>
        <w:rPr>
          <w:b/>
          <w:bCs/>
          <w:color w:val="475569"/>
          <w:sz w:val="15"/>
          <w:szCs w:val="15"/>
        </w:rPr>
        <w:t xml:space="preserve">EN</w:t>
      </w:r>
      <w:r>
        <w:t xml:space="preserve"> </w:t>
      </w:r>
      <w:r>
        <w:rPr>
          <w:color w:val="111827"/>
          <w:sz w:val="21"/>
          <w:szCs w:val="21"/>
        </w:rPr>
        <w:t xml:space="preserve">Target architecture and sizing</w:t>
      </w:r>
    </w:p>
    <w:p>
      <w:pPr>
        <w:pStyle w:val="Heading3"/>
        <w:spacing w:after="100" w:before="280"/>
      </w:pPr>
      <w:r>
        <w:rPr>
          <w:b/>
          <w:bCs/>
          <w:color w:val="111827"/>
          <w:sz w:val="22"/>
          <w:szCs w:val="22"/>
        </w:rPr>
        <w:t xml:space="preserve">Metin</w:t>
      </w:r>
    </w:p>
    <w:p>
      <w:pPr>
        <w:spacing w:after="40" w:before="120" w:line="300"/>
        <w:ind w:left="400" w:hanging="400"/>
      </w:pPr>
      <w:r>
        <w:rPr>
          <w:b/>
          <w:bCs/>
          <w:color w:val="6B7280"/>
          <w:sz w:val="19"/>
          <w:szCs w:val="19"/>
        </w:rPr>
        <w:t xml:space="preserve">1.</w:t>
      </w:r>
      <w:r>
        <w:t xml:space="preserve"> </w:t>
      </w:r>
      <w:r>
        <w:rPr>
          <w:b/>
          <w:bCs/>
          <w:color w:val="B45309"/>
          <w:sz w:val="15"/>
          <w:szCs w:val="15"/>
        </w:rPr>
        <w:t xml:space="preserve">TR</w:t>
      </w:r>
      <w:r>
        <w:t xml:space="preserve"> </w:t>
      </w:r>
      <w:r>
        <w:rPr>
          <w:color w:val="111827"/>
          <w:sz w:val="21"/>
          <w:szCs w:val="21"/>
        </w:rPr>
        <w:t xml:space="preserve">Sistem ortamı yapısını (geliştirme, test, kalite, canlı), veri hacmi projeksiyonunu, arşivleme stratejisini ve entegrasyon mimarisini birlikte tasarlarız. Boyutlandırma, lisans müzakeresinden ayrı ve teknik bir çalışmadır; ikisinin karıştırılması ya gereksiz maliyet ya da ilk yıl içinde performans sorunu yaratır.</w:t>
      </w:r>
    </w:p>
    <w:p>
      <w:pPr>
        <w:spacing w:after="60" w:before="0" w:line="300"/>
        <w:ind w:left="400"/>
      </w:pPr>
      <w:r>
        <w:rPr>
          <w:b/>
          <w:bCs/>
          <w:color w:val="475569"/>
          <w:sz w:val="15"/>
          <w:szCs w:val="15"/>
        </w:rPr>
        <w:t xml:space="preserve">EN</w:t>
      </w:r>
      <w:r>
        <w:t xml:space="preserve"> </w:t>
      </w:r>
      <w:r>
        <w:rPr>
          <w:color w:val="111827"/>
          <w:sz w:val="21"/>
          <w:szCs w:val="21"/>
        </w:rPr>
        <w:t xml:space="preserve">We design the system landscape, data volume projection, archiving strategy and integration architecture together. Sizing is a technical exercise separate from licence negotiation; conflating the two produces either unnecessary cost or a performance problem within the first year.</w:t>
      </w:r>
    </w:p>
    <w:p>
      <w:pPr>
        <w:spacing w:after="40" w:before="120" w:line="300"/>
        <w:ind w:left="400" w:hanging="400"/>
      </w:pPr>
      <w:r>
        <w:rPr>
          <w:b/>
          <w:bCs/>
          <w:color w:val="6B7280"/>
          <w:sz w:val="19"/>
          <w:szCs w:val="19"/>
        </w:rPr>
        <w:t xml:space="preserve">2.</w:t>
      </w:r>
      <w:r>
        <w:t xml:space="preserve"> </w:t>
      </w:r>
      <w:r>
        <w:rPr>
          <w:b/>
          <w:bCs/>
          <w:color w:val="B45309"/>
          <w:sz w:val="15"/>
          <w:szCs w:val="15"/>
        </w:rPr>
        <w:t xml:space="preserve">TR</w:t>
      </w:r>
      <w:r>
        <w:t xml:space="preserve"> </w:t>
      </w:r>
      <w:r>
        <w:rPr>
          <w:color w:val="111827"/>
          <w:sz w:val="21"/>
          <w:szCs w:val="21"/>
        </w:rPr>
        <w:t xml:space="preserve">Entegrasyon tarafında mevcut arayüz envanterini çıkarır, hangilerinin bulut ortamında yeniden kurgulanması gerektiğini belirleriz. Şirket içi sistemlerle bağlantı gerektiren senaryolar özellikle erken ele alınmalıdır; ağ ve kimlik doğrulama tasarımı çoğu zaman tahmin edilenden uzun sürer.</w:t>
      </w:r>
    </w:p>
    <w:p>
      <w:pPr>
        <w:spacing w:after="60" w:before="0" w:line="300"/>
        <w:ind w:left="400"/>
      </w:pPr>
      <w:r>
        <w:rPr>
          <w:b/>
          <w:bCs/>
          <w:color w:val="475569"/>
          <w:sz w:val="15"/>
          <w:szCs w:val="15"/>
        </w:rPr>
        <w:t xml:space="preserve">EN</w:t>
      </w:r>
      <w:r>
        <w:t xml:space="preserve"> </w:t>
      </w:r>
      <w:r>
        <w:rPr>
          <w:color w:val="111827"/>
          <w:sz w:val="21"/>
          <w:szCs w:val="21"/>
        </w:rPr>
        <w:t xml:space="preserve">On integration we inventory existing interfaces and determine which need redesign for the hosted environment. Scenarios requiring connectivity back to on-premise systems deserve early attention — network and identity design routinely takes longer than anyone plans for.</w:t>
      </w:r>
    </w:p>
    <w:p>
      <w:pPr>
        <w:pStyle w:val="Heading2"/>
        <w:spacing w:after="100" w:before="280"/>
      </w:pPr>
      <w:r>
        <w:rPr>
          <w:b/>
          <w:bCs/>
          <w:color w:val="111827"/>
          <w:sz w:val="25"/>
          <w:szCs w:val="25"/>
        </w:rPr>
        <w:t xml:space="preserve">3. Finans süreçlerinin dönüşümü</w:t>
      </w:r>
    </w:p>
    <w:p>
      <w:pPr>
        <w:spacing w:after="40" w:before="200"/>
      </w:pPr>
      <w:r>
        <w:rPr>
          <w:b/>
          <w:bCs/>
          <w:color w:val="6B7280"/>
          <w:sz w:val="16"/>
          <w:szCs w:val="16"/>
        </w:rPr>
        <w:t xml:space="preserve">ALT BAŞLIK</w:t>
      </w:r>
    </w:p>
    <w:p>
      <w:pPr>
        <w:spacing w:after="90" w:before="0" w:line="300"/>
      </w:pPr>
      <w:r>
        <w:rPr>
          <w:b/>
          <w:bCs/>
          <w:color w:val="B45309"/>
          <w:sz w:val="15"/>
          <w:szCs w:val="15"/>
        </w:rPr>
        <w:t xml:space="preserve">TR</w:t>
      </w:r>
      <w:r>
        <w:t xml:space="preserve"> </w:t>
      </w:r>
      <w:r>
        <w:rPr>
          <w:color w:val="111827"/>
          <w:sz w:val="21"/>
          <w:szCs w:val="21"/>
        </w:rPr>
        <w:t xml:space="preserve">Finans süreçlerinin dönüşümü</w:t>
      </w:r>
    </w:p>
    <w:p>
      <w:pPr>
        <w:spacing w:after="90" w:before="0" w:line="300"/>
      </w:pPr>
      <w:r>
        <w:rPr>
          <w:b/>
          <w:bCs/>
          <w:color w:val="475569"/>
          <w:sz w:val="15"/>
          <w:szCs w:val="15"/>
        </w:rPr>
        <w:t xml:space="preserve">EN</w:t>
      </w:r>
      <w:r>
        <w:t xml:space="preserve"> </w:t>
      </w:r>
      <w:r>
        <w:rPr>
          <w:color w:val="111827"/>
          <w:sz w:val="21"/>
          <w:szCs w:val="21"/>
        </w:rPr>
        <w:t xml:space="preserve">Transforming the finance processes</w:t>
      </w:r>
    </w:p>
    <w:p>
      <w:pPr>
        <w:pStyle w:val="Heading3"/>
        <w:spacing w:after="100" w:before="280"/>
      </w:pPr>
      <w:r>
        <w:rPr>
          <w:b/>
          <w:bCs/>
          <w:color w:val="111827"/>
          <w:sz w:val="22"/>
          <w:szCs w:val="22"/>
        </w:rPr>
        <w:t xml:space="preserve">Metin</w:t>
      </w:r>
    </w:p>
    <w:p>
      <w:pPr>
        <w:spacing w:after="40" w:before="120" w:line="300"/>
        <w:ind w:left="400" w:hanging="400"/>
      </w:pPr>
      <w:r>
        <w:rPr>
          <w:b/>
          <w:bCs/>
          <w:color w:val="6B7280"/>
          <w:sz w:val="19"/>
          <w:szCs w:val="19"/>
        </w:rPr>
        <w:t xml:space="preserve">1.</w:t>
      </w:r>
      <w:r>
        <w:t xml:space="preserve"> </w:t>
      </w:r>
      <w:r>
        <w:rPr>
          <w:b/>
          <w:bCs/>
          <w:color w:val="B45309"/>
          <w:sz w:val="15"/>
          <w:szCs w:val="15"/>
        </w:rPr>
        <w:t xml:space="preserve">TR</w:t>
      </w:r>
      <w:r>
        <w:t xml:space="preserve"> </w:t>
      </w:r>
      <w:r>
        <w:rPr>
          <w:color w:val="111827"/>
          <w:sz w:val="21"/>
          <w:szCs w:val="21"/>
        </w:rPr>
        <w:t xml:space="preserve">Private Cloud’a geçiş, çoğu şirkette aynı zamanda S/4HANA’ya geçiştir. Bu da finans tarafında Universal Journal, iş ortağı dönüşümü, malzeme defteri ve yeni kredi yönetimi gibi kalemlerin ele alınması demektir. Esneklik korunduğu için mevcut süreçlerinizi taşıyabilirsiniz — ama her şeyi taşımak zorunda olmadığınızı hatırlatmak da bizim işimizdir.</w:t>
      </w:r>
    </w:p>
    <w:p>
      <w:pPr>
        <w:spacing w:after="60" w:before="0" w:line="300"/>
        <w:ind w:left="400"/>
      </w:pPr>
      <w:r>
        <w:rPr>
          <w:b/>
          <w:bCs/>
          <w:color w:val="475569"/>
          <w:sz w:val="15"/>
          <w:szCs w:val="15"/>
        </w:rPr>
        <w:t xml:space="preserve">EN</w:t>
      </w:r>
      <w:r>
        <w:t xml:space="preserve"> </w:t>
      </w:r>
      <w:r>
        <w:rPr>
          <w:color w:val="111827"/>
          <w:sz w:val="21"/>
          <w:szCs w:val="21"/>
        </w:rPr>
        <w:t xml:space="preserve">For most organisations, moving to Private Cloud is also the move to S/4HANA. That brings the Universal Journal, business partner conversion, material ledger and the new credit management architecture into scope. Because flexibility is preserved you can carry your existing processes across — part of our job is reminding you that you do not have to.</w:t>
      </w:r>
    </w:p>
    <w:p>
      <w:pPr>
        <w:spacing w:after="40" w:before="120" w:line="300"/>
        <w:ind w:left="400" w:hanging="400"/>
      </w:pPr>
      <w:r>
        <w:rPr>
          <w:b/>
          <w:bCs/>
          <w:color w:val="6B7280"/>
          <w:sz w:val="19"/>
          <w:szCs w:val="19"/>
        </w:rPr>
        <w:t xml:space="preserve">2.</w:t>
      </w:r>
      <w:r>
        <w:t xml:space="preserve"> </w:t>
      </w:r>
      <w:r>
        <w:rPr>
          <w:b/>
          <w:bCs/>
          <w:color w:val="B45309"/>
          <w:sz w:val="15"/>
          <w:szCs w:val="15"/>
        </w:rPr>
        <w:t xml:space="preserve">TR</w:t>
      </w:r>
      <w:r>
        <w:t xml:space="preserve"> </w:t>
      </w:r>
      <w:r>
        <w:rPr>
          <w:color w:val="111827"/>
          <w:sz w:val="21"/>
          <w:szCs w:val="21"/>
        </w:rPr>
        <w:t xml:space="preserve">Geçişi, biriken teknik borcu azaltmak için bir fırsat olarak kullanırız: artık kullanılmayan geliştirmelerin ayıklanması, gereksiz özelleştirmelerin standarda döndürülmesi ve raporlama yapısının sadeleştirilmesi bu aşamada en düşük maliyetle yapılır.</w:t>
      </w:r>
    </w:p>
    <w:p>
      <w:pPr>
        <w:spacing w:after="60" w:before="0" w:line="300"/>
        <w:ind w:left="400"/>
      </w:pPr>
      <w:r>
        <w:rPr>
          <w:b/>
          <w:bCs/>
          <w:color w:val="475569"/>
          <w:sz w:val="15"/>
          <w:szCs w:val="15"/>
        </w:rPr>
        <w:t xml:space="preserve">EN</w:t>
      </w:r>
      <w:r>
        <w:t xml:space="preserve"> </w:t>
      </w:r>
      <w:r>
        <w:rPr>
          <w:color w:val="111827"/>
          <w:sz w:val="21"/>
          <w:szCs w:val="21"/>
        </w:rPr>
        <w:t xml:space="preserve">We treat the migration as the cheapest moment you will ever have to reduce technical debt: retiring dead custom code, returning unnecessary modifications to standard and simplifying the reporting structure all cost least when done as part of a move that is happening anyway.</w:t>
      </w:r>
    </w:p>
    <w:p>
      <w:pPr>
        <w:pStyle w:val="Heading2"/>
        <w:spacing w:after="100" w:before="280"/>
      </w:pPr>
      <w:r>
        <w:rPr>
          <w:b/>
          <w:bCs/>
          <w:color w:val="111827"/>
          <w:sz w:val="25"/>
          <w:szCs w:val="25"/>
        </w:rPr>
        <w:t xml:space="preserve">4. Geçiş ve devreye alma yönetimi</w:t>
      </w:r>
    </w:p>
    <w:p>
      <w:pPr>
        <w:spacing w:after="40" w:before="200"/>
      </w:pPr>
      <w:r>
        <w:rPr>
          <w:b/>
          <w:bCs/>
          <w:color w:val="6B7280"/>
          <w:sz w:val="16"/>
          <w:szCs w:val="16"/>
        </w:rPr>
        <w:t xml:space="preserve">ALT BAŞLIK</w:t>
      </w:r>
    </w:p>
    <w:p>
      <w:pPr>
        <w:spacing w:after="90" w:before="0" w:line="300"/>
      </w:pPr>
      <w:r>
        <w:rPr>
          <w:b/>
          <w:bCs/>
          <w:color w:val="B45309"/>
          <w:sz w:val="15"/>
          <w:szCs w:val="15"/>
        </w:rPr>
        <w:t xml:space="preserve">TR</w:t>
      </w:r>
      <w:r>
        <w:t xml:space="preserve"> </w:t>
      </w:r>
      <w:r>
        <w:rPr>
          <w:color w:val="111827"/>
          <w:sz w:val="21"/>
          <w:szCs w:val="21"/>
        </w:rPr>
        <w:t xml:space="preserve">Geçiş ve devreye alma yönetimi</w:t>
      </w:r>
    </w:p>
    <w:p>
      <w:pPr>
        <w:spacing w:after="90" w:before="0" w:line="300"/>
      </w:pPr>
      <w:r>
        <w:rPr>
          <w:b/>
          <w:bCs/>
          <w:color w:val="475569"/>
          <w:sz w:val="15"/>
          <w:szCs w:val="15"/>
        </w:rPr>
        <w:t xml:space="preserve">EN</w:t>
      </w:r>
      <w:r>
        <w:t xml:space="preserve"> </w:t>
      </w:r>
      <w:r>
        <w:rPr>
          <w:color w:val="111827"/>
          <w:sz w:val="21"/>
          <w:szCs w:val="21"/>
        </w:rPr>
        <w:t xml:space="preserve">Migration and cutover management</w:t>
      </w:r>
    </w:p>
    <w:p>
      <w:pPr>
        <w:pStyle w:val="Heading3"/>
        <w:spacing w:after="100" w:before="280"/>
      </w:pPr>
      <w:r>
        <w:rPr>
          <w:b/>
          <w:bCs/>
          <w:color w:val="111827"/>
          <w:sz w:val="22"/>
          <w:szCs w:val="22"/>
        </w:rPr>
        <w:t xml:space="preserve">Metin</w:t>
      </w:r>
    </w:p>
    <w:p>
      <w:pPr>
        <w:spacing w:after="40" w:before="120" w:line="300"/>
        <w:ind w:left="400" w:hanging="400"/>
      </w:pPr>
      <w:r>
        <w:rPr>
          <w:b/>
          <w:bCs/>
          <w:color w:val="6B7280"/>
          <w:sz w:val="19"/>
          <w:szCs w:val="19"/>
        </w:rPr>
        <w:t xml:space="preserve">1.</w:t>
      </w:r>
      <w:r>
        <w:t xml:space="preserve"> </w:t>
      </w:r>
      <w:r>
        <w:rPr>
          <w:b/>
          <w:bCs/>
          <w:color w:val="B45309"/>
          <w:sz w:val="15"/>
          <w:szCs w:val="15"/>
        </w:rPr>
        <w:t xml:space="preserve">TR</w:t>
      </w:r>
      <w:r>
        <w:t xml:space="preserve"> </w:t>
      </w:r>
      <w:r>
        <w:rPr>
          <w:color w:val="111827"/>
          <w:sz w:val="21"/>
          <w:szCs w:val="21"/>
        </w:rPr>
        <w:t xml:space="preserve">Veri migrasyonunu tekrarlanabilir bir süreç olarak kurar, her deneme geçişinde bakiye ve açık kalem mutabakatını otomatik üretiriz. Devreye alma planını sağlayıcının bakım pencereleriyle uyumlu olacak biçimde saat bazında yazar, geri dönüş kriterlerini önceden tanımlarız.</w:t>
      </w:r>
    </w:p>
    <w:p>
      <w:pPr>
        <w:spacing w:after="60" w:before="0" w:line="300"/>
        <w:ind w:left="400"/>
      </w:pPr>
      <w:r>
        <w:rPr>
          <w:b/>
          <w:bCs/>
          <w:color w:val="475569"/>
          <w:sz w:val="15"/>
          <w:szCs w:val="15"/>
        </w:rPr>
        <w:t xml:space="preserve">EN</w:t>
      </w:r>
      <w:r>
        <w:t xml:space="preserve"> </w:t>
      </w:r>
      <w:r>
        <w:rPr>
          <w:color w:val="111827"/>
          <w:sz w:val="21"/>
          <w:szCs w:val="21"/>
        </w:rPr>
        <w:t xml:space="preserve">Migration is built as a repeatable process, with balance and open item reconciliation generated automatically on every mock run. The cutover plan is written hour by hour against the provider’s maintenance windows, with rollback criteria agreed in advance.</w:t>
      </w:r>
    </w:p>
    <w:p>
      <w:pPr>
        <w:spacing w:after="40" w:before="120" w:line="300"/>
        <w:ind w:left="400" w:hanging="400"/>
      </w:pPr>
      <w:r>
        <w:rPr>
          <w:b/>
          <w:bCs/>
          <w:color w:val="6B7280"/>
          <w:sz w:val="19"/>
          <w:szCs w:val="19"/>
        </w:rPr>
        <w:t xml:space="preserve">2.</w:t>
      </w:r>
      <w:r>
        <w:t xml:space="preserve"> </w:t>
      </w:r>
      <w:r>
        <w:rPr>
          <w:b/>
          <w:bCs/>
          <w:color w:val="B45309"/>
          <w:sz w:val="15"/>
          <w:szCs w:val="15"/>
        </w:rPr>
        <w:t xml:space="preserve">TR</w:t>
      </w:r>
      <w:r>
        <w:t xml:space="preserve"> </w:t>
      </w:r>
      <w:r>
        <w:rPr>
          <w:color w:val="111827"/>
          <w:sz w:val="21"/>
          <w:szCs w:val="21"/>
        </w:rPr>
        <w:t xml:space="preserve">Sağlayıcı tarafındaki bağımlılıklar — sistem kopyaları, ortam hazırlıkları, ağ değişiklikleri — kritik yol üzerinde olduğu için ayrı takip edilir. Bu bağımlılıkların gecikmesi, projelerde en sık görülen kayma nedenidir.</w:t>
      </w:r>
    </w:p>
    <w:p>
      <w:pPr>
        <w:spacing w:after="60" w:before="0" w:line="300"/>
        <w:ind w:left="400"/>
      </w:pPr>
      <w:r>
        <w:rPr>
          <w:b/>
          <w:bCs/>
          <w:color w:val="475569"/>
          <w:sz w:val="15"/>
          <w:szCs w:val="15"/>
        </w:rPr>
        <w:t xml:space="preserve">EN</w:t>
      </w:r>
      <w:r>
        <w:t xml:space="preserve"> </w:t>
      </w:r>
      <w:r>
        <w:rPr>
          <w:color w:val="111827"/>
          <w:sz w:val="21"/>
          <w:szCs w:val="21"/>
        </w:rPr>
        <w:t xml:space="preserve">Provider-side dependencies — system copies, environment provisioning, network changes — sit on the critical path and are tracked separately. Slippage in exactly those dependencies is the most common cause of delay in Private Cloud programmes.</w:t>
      </w:r>
    </w:p>
    <w:p>
      <w:pPr>
        <w:pStyle w:val="Heading2"/>
        <w:spacing w:after="100" w:before="280"/>
      </w:pPr>
      <w:r>
        <w:rPr>
          <w:b/>
          <w:bCs/>
          <w:color w:val="111827"/>
          <w:sz w:val="25"/>
          <w:szCs w:val="25"/>
        </w:rPr>
        <w:t xml:space="preserve">5. Hypercare ve işletmeye devir</w:t>
      </w:r>
    </w:p>
    <w:p>
      <w:pPr>
        <w:spacing w:after="40" w:before="200"/>
      </w:pPr>
      <w:r>
        <w:rPr>
          <w:b/>
          <w:bCs/>
          <w:color w:val="6B7280"/>
          <w:sz w:val="16"/>
          <w:szCs w:val="16"/>
        </w:rPr>
        <w:t xml:space="preserve">ALT BAŞLIK</w:t>
      </w:r>
    </w:p>
    <w:p>
      <w:pPr>
        <w:spacing w:after="90" w:before="0" w:line="300"/>
      </w:pPr>
      <w:r>
        <w:rPr>
          <w:b/>
          <w:bCs/>
          <w:color w:val="B45309"/>
          <w:sz w:val="15"/>
          <w:szCs w:val="15"/>
        </w:rPr>
        <w:t xml:space="preserve">TR</w:t>
      </w:r>
      <w:r>
        <w:t xml:space="preserve"> </w:t>
      </w:r>
      <w:r>
        <w:rPr>
          <w:color w:val="111827"/>
          <w:sz w:val="21"/>
          <w:szCs w:val="21"/>
        </w:rPr>
        <w:t xml:space="preserve">Hypercare ve işletmeye devir</w:t>
      </w:r>
    </w:p>
    <w:p>
      <w:pPr>
        <w:spacing w:after="90" w:before="0" w:line="300"/>
      </w:pPr>
      <w:r>
        <w:rPr>
          <w:b/>
          <w:bCs/>
          <w:color w:val="475569"/>
          <w:sz w:val="15"/>
          <w:szCs w:val="15"/>
        </w:rPr>
        <w:t xml:space="preserve">EN</w:t>
      </w:r>
      <w:r>
        <w:t xml:space="preserve"> </w:t>
      </w:r>
      <w:r>
        <w:rPr>
          <w:color w:val="111827"/>
          <w:sz w:val="21"/>
          <w:szCs w:val="21"/>
        </w:rPr>
        <w:t xml:space="preserve">Hypercare and handover</w:t>
      </w:r>
    </w:p>
    <w:p>
      <w:pPr>
        <w:pStyle w:val="Heading3"/>
        <w:spacing w:after="100" w:before="280"/>
      </w:pPr>
      <w:r>
        <w:rPr>
          <w:b/>
          <w:bCs/>
          <w:color w:val="111827"/>
          <w:sz w:val="22"/>
          <w:szCs w:val="22"/>
        </w:rPr>
        <w:t xml:space="preserve">Metin</w:t>
      </w:r>
    </w:p>
    <w:p>
      <w:pPr>
        <w:spacing w:after="40" w:before="120" w:line="300"/>
        <w:ind w:left="400" w:hanging="400"/>
      </w:pPr>
      <w:r>
        <w:rPr>
          <w:b/>
          <w:bCs/>
          <w:color w:val="6B7280"/>
          <w:sz w:val="19"/>
          <w:szCs w:val="19"/>
        </w:rPr>
        <w:t xml:space="preserve">1.</w:t>
      </w:r>
      <w:r>
        <w:t xml:space="preserve"> </w:t>
      </w:r>
      <w:r>
        <w:rPr>
          <w:b/>
          <w:bCs/>
          <w:color w:val="B45309"/>
          <w:sz w:val="15"/>
          <w:szCs w:val="15"/>
        </w:rPr>
        <w:t xml:space="preserve">TR</w:t>
      </w:r>
      <w:r>
        <w:t xml:space="preserve"> </w:t>
      </w:r>
      <w:r>
        <w:rPr>
          <w:color w:val="111827"/>
          <w:sz w:val="21"/>
          <w:szCs w:val="21"/>
        </w:rPr>
        <w:t xml:space="preserve">Geçiş sonrası ilk kapanışı ekiple birlikte yürütürüz. Hypercare sürecinde açılan her kaydın hangi tarafın sorumluluğuna girdiğini işaretler, sağlayıcıyla olan yönlendirme sürecinin oturmasını sağlarız — bu, hypercare bittikten sonra ekibin yalnız kalmaması demektir.</w:t>
      </w:r>
    </w:p>
    <w:p>
      <w:pPr>
        <w:spacing w:after="60" w:before="0" w:line="300"/>
        <w:ind w:left="400"/>
      </w:pPr>
      <w:r>
        <w:rPr>
          <w:b/>
          <w:bCs/>
          <w:color w:val="475569"/>
          <w:sz w:val="15"/>
          <w:szCs w:val="15"/>
        </w:rPr>
        <w:t xml:space="preserve">EN</w:t>
      </w:r>
      <w:r>
        <w:t xml:space="preserve"> </w:t>
      </w:r>
      <w:r>
        <w:rPr>
          <w:color w:val="111827"/>
          <w:sz w:val="21"/>
          <w:szCs w:val="21"/>
        </w:rPr>
        <w:t xml:space="preserve">We run the first post-go-live close together with your team. During hypercare every ticket is tagged with which party owns it, so the routing process with the provider is established while we are still there. That is what stops the team being stranded the week hypercare ends.</w:t>
      </w:r>
    </w:p>
    <w:p>
      <w:pPr>
        <w:pStyle w:val="Heading1"/>
        <w:pBdr>
          <w:bottom w:val="single" w:color="D1D5DB" w:sz="6" w:space="6"/>
        </w:pBdr>
        <w:spacing w:after="100" w:before="400"/>
      </w:pPr>
      <w:r>
        <w:rPr>
          <w:b/>
          <w:bCs/>
          <w:color w:val="111827"/>
          <w:sz w:val="30"/>
          <w:szCs w:val="30"/>
        </w:rPr>
        <w:t xml:space="preserve">Teslim edilenler</w:t>
      </w:r>
    </w:p>
    <w:p>
      <w:pPr>
        <w:spacing w:after="40" w:before="120" w:line="300"/>
        <w:ind w:left="400" w:hanging="400"/>
      </w:pPr>
      <w:r>
        <w:rPr>
          <w:b/>
          <w:bCs/>
          <w:color w:val="6B7280"/>
          <w:sz w:val="19"/>
          <w:szCs w:val="19"/>
        </w:rPr>
        <w:t xml:space="preserve">1.</w:t>
      </w:r>
      <w:r>
        <w:t xml:space="preserve"> </w:t>
      </w:r>
      <w:r>
        <w:rPr>
          <w:b/>
          <w:bCs/>
          <w:color w:val="B45309"/>
          <w:sz w:val="15"/>
          <w:szCs w:val="15"/>
        </w:rPr>
        <w:t xml:space="preserve">TR</w:t>
      </w:r>
      <w:r>
        <w:t xml:space="preserve"> </w:t>
      </w:r>
      <w:r>
        <w:rPr>
          <w:color w:val="111827"/>
          <w:sz w:val="21"/>
          <w:szCs w:val="21"/>
        </w:rPr>
        <w:t xml:space="preserve">RISE kapsam okuması ve sorumluluk matrisi (sağlayıcı / danışman / iç ekip)</w:t>
      </w:r>
    </w:p>
    <w:p>
      <w:pPr>
        <w:spacing w:after="60" w:before="0" w:line="300"/>
        <w:ind w:left="400"/>
      </w:pPr>
      <w:r>
        <w:rPr>
          <w:b/>
          <w:bCs/>
          <w:color w:val="475569"/>
          <w:sz w:val="15"/>
          <w:szCs w:val="15"/>
        </w:rPr>
        <w:t xml:space="preserve">EN</w:t>
      </w:r>
      <w:r>
        <w:t xml:space="preserve"> </w:t>
      </w:r>
      <w:r>
        <w:rPr>
          <w:color w:val="111827"/>
          <w:sz w:val="21"/>
          <w:szCs w:val="21"/>
        </w:rPr>
        <w:t xml:space="preserve">RISE scope reading and responsibility matrix across provider, partner and internal team</w:t>
      </w:r>
    </w:p>
    <w:p>
      <w:pPr>
        <w:spacing w:after="40" w:before="120" w:line="300"/>
        <w:ind w:left="400" w:hanging="400"/>
      </w:pPr>
      <w:r>
        <w:rPr>
          <w:b/>
          <w:bCs/>
          <w:color w:val="6B7280"/>
          <w:sz w:val="19"/>
          <w:szCs w:val="19"/>
        </w:rPr>
        <w:t xml:space="preserve">2.</w:t>
      </w:r>
      <w:r>
        <w:t xml:space="preserve"> </w:t>
      </w:r>
      <w:r>
        <w:rPr>
          <w:b/>
          <w:bCs/>
          <w:color w:val="B45309"/>
          <w:sz w:val="15"/>
          <w:szCs w:val="15"/>
        </w:rPr>
        <w:t xml:space="preserve">TR</w:t>
      </w:r>
      <w:r>
        <w:t xml:space="preserve"> </w:t>
      </w:r>
      <w:r>
        <w:rPr>
          <w:color w:val="111827"/>
          <w:sz w:val="21"/>
          <w:szCs w:val="21"/>
        </w:rPr>
        <w:t xml:space="preserve">Hedef mimari, sistem ortamı ve boyutlandırma dokümanı</w:t>
      </w:r>
    </w:p>
    <w:p>
      <w:pPr>
        <w:spacing w:after="60" w:before="0" w:line="300"/>
        <w:ind w:left="400"/>
      </w:pPr>
      <w:r>
        <w:rPr>
          <w:b/>
          <w:bCs/>
          <w:color w:val="475569"/>
          <w:sz w:val="15"/>
          <w:szCs w:val="15"/>
        </w:rPr>
        <w:t xml:space="preserve">EN</w:t>
      </w:r>
      <w:r>
        <w:t xml:space="preserve"> </w:t>
      </w:r>
      <w:r>
        <w:rPr>
          <w:color w:val="111827"/>
          <w:sz w:val="21"/>
          <w:szCs w:val="21"/>
        </w:rPr>
        <w:t xml:space="preserve">Target architecture, landscape and sizing documentation</w:t>
      </w:r>
    </w:p>
    <w:p>
      <w:pPr>
        <w:spacing w:after="40" w:before="120" w:line="300"/>
        <w:ind w:left="400" w:hanging="400"/>
      </w:pPr>
      <w:r>
        <w:rPr>
          <w:b/>
          <w:bCs/>
          <w:color w:val="6B7280"/>
          <w:sz w:val="19"/>
          <w:szCs w:val="19"/>
        </w:rPr>
        <w:t xml:space="preserve">3.</w:t>
      </w:r>
      <w:r>
        <w:t xml:space="preserve"> </w:t>
      </w:r>
      <w:r>
        <w:rPr>
          <w:b/>
          <w:bCs/>
          <w:color w:val="B45309"/>
          <w:sz w:val="15"/>
          <w:szCs w:val="15"/>
        </w:rPr>
        <w:t xml:space="preserve">TR</w:t>
      </w:r>
      <w:r>
        <w:t xml:space="preserve"> </w:t>
      </w:r>
      <w:r>
        <w:rPr>
          <w:color w:val="111827"/>
          <w:sz w:val="21"/>
          <w:szCs w:val="21"/>
        </w:rPr>
        <w:t xml:space="preserve">Entegrasyon envanteri ve hedef arayüz tasarımı</w:t>
      </w:r>
    </w:p>
    <w:p>
      <w:pPr>
        <w:spacing w:after="60" w:before="0" w:line="300"/>
        <w:ind w:left="400"/>
      </w:pPr>
      <w:r>
        <w:rPr>
          <w:b/>
          <w:bCs/>
          <w:color w:val="475569"/>
          <w:sz w:val="15"/>
          <w:szCs w:val="15"/>
        </w:rPr>
        <w:t xml:space="preserve">EN</w:t>
      </w:r>
      <w:r>
        <w:t xml:space="preserve"> </w:t>
      </w:r>
      <w:r>
        <w:rPr>
          <w:color w:val="111827"/>
          <w:sz w:val="21"/>
          <w:szCs w:val="21"/>
        </w:rPr>
        <w:t xml:space="preserve">Interface inventory and target integration design</w:t>
      </w:r>
    </w:p>
    <w:p>
      <w:pPr>
        <w:spacing w:after="40" w:before="120" w:line="300"/>
        <w:ind w:left="400" w:hanging="400"/>
      </w:pPr>
      <w:r>
        <w:rPr>
          <w:b/>
          <w:bCs/>
          <w:color w:val="6B7280"/>
          <w:sz w:val="19"/>
          <w:szCs w:val="19"/>
        </w:rPr>
        <w:t xml:space="preserve">4.</w:t>
      </w:r>
      <w:r>
        <w:t xml:space="preserve"> </w:t>
      </w:r>
      <w:r>
        <w:rPr>
          <w:b/>
          <w:bCs/>
          <w:color w:val="B45309"/>
          <w:sz w:val="15"/>
          <w:szCs w:val="15"/>
        </w:rPr>
        <w:t xml:space="preserve">TR</w:t>
      </w:r>
      <w:r>
        <w:t xml:space="preserve"> </w:t>
      </w:r>
      <w:r>
        <w:rPr>
          <w:color w:val="111827"/>
          <w:sz w:val="21"/>
          <w:szCs w:val="21"/>
        </w:rPr>
        <w:t xml:space="preserve">Özelleştirme envanteri ve sadeleştirme önerileri</w:t>
      </w:r>
    </w:p>
    <w:p>
      <w:pPr>
        <w:spacing w:after="60" w:before="0" w:line="300"/>
        <w:ind w:left="400"/>
      </w:pPr>
      <w:r>
        <w:rPr>
          <w:b/>
          <w:bCs/>
          <w:color w:val="475569"/>
          <w:sz w:val="15"/>
          <w:szCs w:val="15"/>
        </w:rPr>
        <w:t xml:space="preserve">EN</w:t>
      </w:r>
      <w:r>
        <w:t xml:space="preserve"> </w:t>
      </w:r>
      <w:r>
        <w:rPr>
          <w:color w:val="111827"/>
          <w:sz w:val="21"/>
          <w:szCs w:val="21"/>
        </w:rPr>
        <w:t xml:space="preserve">Custom code inventory with simplification recommendations</w:t>
      </w:r>
    </w:p>
    <w:p>
      <w:pPr>
        <w:spacing w:after="40" w:before="120" w:line="300"/>
        <w:ind w:left="400" w:hanging="400"/>
      </w:pPr>
      <w:r>
        <w:rPr>
          <w:b/>
          <w:bCs/>
          <w:color w:val="6B7280"/>
          <w:sz w:val="19"/>
          <w:szCs w:val="19"/>
        </w:rPr>
        <w:t xml:space="preserve">5.</w:t>
      </w:r>
      <w:r>
        <w:t xml:space="preserve"> </w:t>
      </w:r>
      <w:r>
        <w:rPr>
          <w:b/>
          <w:bCs/>
          <w:color w:val="B45309"/>
          <w:sz w:val="15"/>
          <w:szCs w:val="15"/>
        </w:rPr>
        <w:t xml:space="preserve">TR</w:t>
      </w:r>
      <w:r>
        <w:t xml:space="preserve"> </w:t>
      </w:r>
      <w:r>
        <w:rPr>
          <w:color w:val="111827"/>
          <w:sz w:val="21"/>
          <w:szCs w:val="21"/>
        </w:rPr>
        <w:t xml:space="preserve">Veri migrasyon planı ve mutabakat raporları</w:t>
      </w:r>
    </w:p>
    <w:p>
      <w:pPr>
        <w:spacing w:after="60" w:before="0" w:line="300"/>
        <w:ind w:left="400"/>
      </w:pPr>
      <w:r>
        <w:rPr>
          <w:b/>
          <w:bCs/>
          <w:color w:val="475569"/>
          <w:sz w:val="15"/>
          <w:szCs w:val="15"/>
        </w:rPr>
        <w:t xml:space="preserve">EN</w:t>
      </w:r>
      <w:r>
        <w:t xml:space="preserve"> </w:t>
      </w:r>
      <w:r>
        <w:rPr>
          <w:color w:val="111827"/>
          <w:sz w:val="21"/>
          <w:szCs w:val="21"/>
        </w:rPr>
        <w:t xml:space="preserve">Migration plan with automated reconciliation reporting</w:t>
      </w:r>
    </w:p>
    <w:p>
      <w:pPr>
        <w:spacing w:after="40" w:before="120" w:line="300"/>
        <w:ind w:left="400" w:hanging="400"/>
      </w:pPr>
      <w:r>
        <w:rPr>
          <w:b/>
          <w:bCs/>
          <w:color w:val="6B7280"/>
          <w:sz w:val="19"/>
          <w:szCs w:val="19"/>
        </w:rPr>
        <w:t xml:space="preserve">6.</w:t>
      </w:r>
      <w:r>
        <w:t xml:space="preserve"> </w:t>
      </w:r>
      <w:r>
        <w:rPr>
          <w:b/>
          <w:bCs/>
          <w:color w:val="B45309"/>
          <w:sz w:val="15"/>
          <w:szCs w:val="15"/>
        </w:rPr>
        <w:t xml:space="preserve">TR</w:t>
      </w:r>
      <w:r>
        <w:t xml:space="preserve"> </w:t>
      </w:r>
      <w:r>
        <w:rPr>
          <w:color w:val="111827"/>
          <w:sz w:val="21"/>
          <w:szCs w:val="21"/>
        </w:rPr>
        <w:t xml:space="preserve">Saat bazında devreye alma planı ve geri dönüş kriterleri</w:t>
      </w:r>
    </w:p>
    <w:p>
      <w:pPr>
        <w:spacing w:after="60" w:before="0" w:line="300"/>
        <w:ind w:left="400"/>
      </w:pPr>
      <w:r>
        <w:rPr>
          <w:b/>
          <w:bCs/>
          <w:color w:val="475569"/>
          <w:sz w:val="15"/>
          <w:szCs w:val="15"/>
        </w:rPr>
        <w:t xml:space="preserve">EN</w:t>
      </w:r>
      <w:r>
        <w:t xml:space="preserve"> </w:t>
      </w:r>
      <w:r>
        <w:rPr>
          <w:color w:val="111827"/>
          <w:sz w:val="21"/>
          <w:szCs w:val="21"/>
        </w:rPr>
        <w:t xml:space="preserve">Hour-by-hour cutover plan with rollback criteria</w:t>
      </w:r>
    </w:p>
    <w:p>
      <w:pPr>
        <w:spacing w:after="40" w:before="120" w:line="300"/>
        <w:ind w:left="400" w:hanging="400"/>
      </w:pPr>
      <w:r>
        <w:rPr>
          <w:b/>
          <w:bCs/>
          <w:color w:val="6B7280"/>
          <w:sz w:val="19"/>
          <w:szCs w:val="19"/>
        </w:rPr>
        <w:t xml:space="preserve">7.</w:t>
      </w:r>
      <w:r>
        <w:t xml:space="preserve"> </w:t>
      </w:r>
      <w:r>
        <w:rPr>
          <w:b/>
          <w:bCs/>
          <w:color w:val="B45309"/>
          <w:sz w:val="15"/>
          <w:szCs w:val="15"/>
        </w:rPr>
        <w:t xml:space="preserve">TR</w:t>
      </w:r>
      <w:r>
        <w:t xml:space="preserve"> </w:t>
      </w:r>
      <w:r>
        <w:rPr>
          <w:color w:val="111827"/>
          <w:sz w:val="21"/>
          <w:szCs w:val="21"/>
        </w:rPr>
        <w:t xml:space="preserve">Hypercare kayıt yönetimi düzeni ve kapanış raporu</w:t>
      </w:r>
    </w:p>
    <w:p>
      <w:pPr>
        <w:spacing w:after="60" w:before="0" w:line="300"/>
        <w:ind w:left="400"/>
      </w:pPr>
      <w:r>
        <w:rPr>
          <w:b/>
          <w:bCs/>
          <w:color w:val="475569"/>
          <w:sz w:val="15"/>
          <w:szCs w:val="15"/>
        </w:rPr>
        <w:t xml:space="preserve">EN</w:t>
      </w:r>
      <w:r>
        <w:t xml:space="preserve"> </w:t>
      </w:r>
      <w:r>
        <w:rPr>
          <w:color w:val="111827"/>
          <w:sz w:val="21"/>
          <w:szCs w:val="21"/>
        </w:rPr>
        <w:t xml:space="preserve">Hypercare ticket governance and closing report</w:t>
      </w:r>
    </w:p>
    <w:p>
      <w:pPr>
        <w:pStyle w:val="Heading1"/>
        <w:pBdr>
          <w:bottom w:val="single" w:color="D1D5DB" w:sz="6" w:space="6"/>
        </w:pBdr>
        <w:spacing w:after="100" w:before="400"/>
      </w:pPr>
      <w:r>
        <w:rPr>
          <w:b/>
          <w:bCs/>
          <w:color w:val="111827"/>
          <w:sz w:val="30"/>
          <w:szCs w:val="30"/>
        </w:rPr>
        <w:t xml:space="preserve">Yapay zekânın rolü</w:t>
      </w:r>
    </w:p>
    <w:p>
      <w:pPr>
        <w:spacing w:after="40" w:before="200"/>
      </w:pPr>
      <w:r>
        <w:rPr>
          <w:b/>
          <w:bCs/>
          <w:color w:val="6B7280"/>
          <w:sz w:val="16"/>
          <w:szCs w:val="16"/>
        </w:rPr>
        <w:t xml:space="preserve">YAPAY ZEKÂNIN ROLÜ</w:t>
      </w:r>
    </w:p>
    <w:p>
      <w:pPr>
        <w:spacing w:after="90" w:before="0" w:line="300"/>
      </w:pPr>
      <w:r>
        <w:rPr>
          <w:b/>
          <w:bCs/>
          <w:color w:val="B45309"/>
          <w:sz w:val="15"/>
          <w:szCs w:val="15"/>
        </w:rPr>
        <w:t xml:space="preserve">TR</w:t>
      </w:r>
      <w:r>
        <w:t xml:space="preserve"> </w:t>
      </w:r>
      <w:r>
        <w:rPr>
          <w:color w:val="111827"/>
          <w:sz w:val="21"/>
          <w:szCs w:val="21"/>
        </w:rPr>
        <w:t xml:space="preserve">Entegrasyon ve özelleştirme envanterinin çıkarılması, kod etki analizi ve migrasyon mutabakat kontrollerinin hazırlanmasında yapay zekâ destekli araçlar kullanıyoruz. Bu, projenin en çok insan-saati tüketen hazırlık işlerini kısaltıyor. Mimari kararlar ve sorumluluk sınırlarının yorumu insana aittir.</w:t>
      </w:r>
    </w:p>
    <w:p>
      <w:pPr>
        <w:spacing w:after="90" w:before="0" w:line="300"/>
      </w:pPr>
      <w:r>
        <w:rPr>
          <w:b/>
          <w:bCs/>
          <w:color w:val="475569"/>
          <w:sz w:val="15"/>
          <w:szCs w:val="15"/>
        </w:rPr>
        <w:t xml:space="preserve">EN</w:t>
      </w:r>
      <w:r>
        <w:t xml:space="preserve"> </w:t>
      </w:r>
      <w:r>
        <w:rPr>
          <w:color w:val="111827"/>
          <w:sz w:val="21"/>
          <w:szCs w:val="21"/>
        </w:rPr>
        <w:t xml:space="preserve">We use AI-assisted tooling to inventory interfaces and custom code, run impact analysis and prepare migration reconciliation checks — the preparation work that otherwise consumes the most person-hours. Architecture decisions and the interpretation of responsibility boundaries stay with people.</w:t>
      </w:r>
    </w:p>
    <w:p>
      <w:pPr>
        <w:pStyle w:val="Heading1"/>
        <w:pBdr>
          <w:bottom w:val="single" w:color="D1D5DB" w:sz="6" w:space="6"/>
        </w:pBdr>
        <w:spacing w:after="100" w:before="400"/>
      </w:pPr>
      <w:r>
        <w:rPr>
          <w:b/>
          <w:bCs/>
          <w:color w:val="111827"/>
          <w:sz w:val="30"/>
          <w:szCs w:val="30"/>
        </w:rPr>
        <w:t xml:space="preserve">Süre ve ekip</w:t>
      </w:r>
    </w:p>
    <w:p>
      <w:pPr>
        <w:spacing w:after="40" w:before="200"/>
      </w:pPr>
      <w:r>
        <w:rPr>
          <w:b/>
          <w:bCs/>
          <w:color w:val="6B7280"/>
          <w:sz w:val="16"/>
          <w:szCs w:val="16"/>
        </w:rPr>
        <w:t xml:space="preserve">SÜRE</w:t>
      </w:r>
    </w:p>
    <w:p>
      <w:pPr>
        <w:spacing w:after="90" w:before="0" w:line="300"/>
      </w:pPr>
      <w:r>
        <w:rPr>
          <w:b/>
          <w:bCs/>
          <w:color w:val="B45309"/>
          <w:sz w:val="15"/>
          <w:szCs w:val="15"/>
        </w:rPr>
        <w:t xml:space="preserve">TR</w:t>
      </w:r>
      <w:r>
        <w:t xml:space="preserve"> </w:t>
      </w:r>
      <w:r>
        <w:rPr>
          <w:color w:val="111827"/>
          <w:sz w:val="21"/>
          <w:szCs w:val="21"/>
        </w:rPr>
        <w:t xml:space="preserve">Mimari ve hazırlık çalışması 5–8 hafta. Geçişin tamamı kapsama göre 7–14 ay.</w:t>
      </w:r>
    </w:p>
    <w:p>
      <w:pPr>
        <w:spacing w:after="90" w:before="0" w:line="300"/>
      </w:pPr>
      <w:r>
        <w:rPr>
          <w:b/>
          <w:bCs/>
          <w:color w:val="475569"/>
          <w:sz w:val="15"/>
          <w:szCs w:val="15"/>
        </w:rPr>
        <w:t xml:space="preserve">EN</w:t>
      </w:r>
      <w:r>
        <w:t xml:space="preserve"> </w:t>
      </w:r>
      <w:r>
        <w:rPr>
          <w:color w:val="111827"/>
          <w:sz w:val="21"/>
          <w:szCs w:val="21"/>
        </w:rPr>
        <w:t xml:space="preserve">Architecture and preparation 5–8 weeks. Full migration 7–14 months depending on scope.</w:t>
      </w:r>
    </w:p>
    <w:p>
      <w:pPr>
        <w:spacing w:after="40" w:before="200"/>
      </w:pPr>
      <w:r>
        <w:rPr>
          <w:b/>
          <w:bCs/>
          <w:color w:val="6B7280"/>
          <w:sz w:val="16"/>
          <w:szCs w:val="16"/>
        </w:rPr>
        <w:t xml:space="preserve">EKİP</w:t>
      </w:r>
    </w:p>
    <w:p>
      <w:pPr>
        <w:spacing w:after="90" w:before="0" w:line="300"/>
      </w:pPr>
      <w:r>
        <w:rPr>
          <w:b/>
          <w:bCs/>
          <w:color w:val="B45309"/>
          <w:sz w:val="15"/>
          <w:szCs w:val="15"/>
        </w:rPr>
        <w:t xml:space="preserve">TR</w:t>
      </w:r>
      <w:r>
        <w:t xml:space="preserve"> </w:t>
      </w:r>
      <w:r>
        <w:rPr>
          <w:color w:val="111827"/>
          <w:sz w:val="21"/>
          <w:szCs w:val="21"/>
        </w:rPr>
        <w:t xml:space="preserve">Çözüm mimarı ve kıdemli FI/CO danışmanı sürekli; entegrasyon, teknik ve veri migrasyonu uzmanları faz bazlı. Sağlayıcı koordinasyonu mimarın sorumluluğundadır.</w:t>
      </w:r>
    </w:p>
    <w:p>
      <w:pPr>
        <w:spacing w:after="90" w:before="0" w:line="300"/>
      </w:pPr>
      <w:r>
        <w:rPr>
          <w:b/>
          <w:bCs/>
          <w:color w:val="475569"/>
          <w:sz w:val="15"/>
          <w:szCs w:val="15"/>
        </w:rPr>
        <w:t xml:space="preserve">EN</w:t>
      </w:r>
      <w:r>
        <w:t xml:space="preserve"> </w:t>
      </w:r>
      <w:r>
        <w:rPr>
          <w:color w:val="111827"/>
          <w:sz w:val="21"/>
          <w:szCs w:val="21"/>
        </w:rPr>
        <w:t xml:space="preserve">Solution architect and senior FI/CO consultant throughout; integration, technical and migration specialists phased in. Provider coordination sits with the architect.</w:t>
      </w:r>
    </w:p>
    <w:p>
      <w:pPr>
        <w:pStyle w:val="Heading1"/>
        <w:pBdr>
          <w:bottom w:val="single" w:color="D1D5DB" w:sz="6" w:space="6"/>
        </w:pBdr>
        <w:spacing w:after="100" w:before="400"/>
      </w:pPr>
      <w:r>
        <w:rPr>
          <w:b/>
          <w:bCs/>
          <w:color w:val="111827"/>
          <w:sz w:val="30"/>
          <w:szCs w:val="30"/>
        </w:rPr>
        <w:t xml:space="preserve">Sık sorulan sorular</w:t>
      </w:r>
    </w:p>
    <w:p>
      <w:pPr>
        <w:spacing w:after="140" w:before="0"/>
      </w:pPr>
      <w:r>
        <w:rPr>
          <w:i/>
          <w:iCs/>
          <w:color w:val="6B7280"/>
          <w:sz w:val="17"/>
          <w:szCs w:val="17"/>
        </w:rPr>
        <w:t xml:space="preserve">Sayfanın altında açılır-kapanır soru listesi olarak görünür.</w:t>
      </w:r>
    </w:p>
    <w:p>
      <w:pPr>
        <w:pStyle w:val="Heading2"/>
        <w:spacing w:after="100" w:before="280"/>
      </w:pPr>
      <w:r>
        <w:rPr>
          <w:b/>
          <w:bCs/>
          <w:color w:val="111827"/>
          <w:sz w:val="25"/>
          <w:szCs w:val="25"/>
        </w:rPr>
        <w:t xml:space="preserve">1. RISE with SAP ile Private Cloud aynı şey mi?</w:t>
      </w:r>
    </w:p>
    <w:p>
      <w:pPr>
        <w:spacing w:after="40" w:before="200"/>
      </w:pPr>
      <w:r>
        <w:rPr>
          <w:b/>
          <w:bCs/>
          <w:color w:val="6B7280"/>
          <w:sz w:val="16"/>
          <w:szCs w:val="16"/>
        </w:rPr>
        <w:t xml:space="preserve">SORU</w:t>
      </w:r>
    </w:p>
    <w:p>
      <w:pPr>
        <w:spacing w:after="90" w:before="0" w:line="300"/>
      </w:pPr>
      <w:r>
        <w:rPr>
          <w:b/>
          <w:bCs/>
          <w:color w:val="B45309"/>
          <w:sz w:val="15"/>
          <w:szCs w:val="15"/>
        </w:rPr>
        <w:t xml:space="preserve">TR</w:t>
      </w:r>
      <w:r>
        <w:t xml:space="preserve"> </w:t>
      </w:r>
      <w:r>
        <w:rPr>
          <w:color w:val="111827"/>
          <w:sz w:val="21"/>
          <w:szCs w:val="21"/>
        </w:rPr>
        <w:t xml:space="preserve">RISE with SAP ile Private Cloud aynı şey mi?</w:t>
      </w:r>
    </w:p>
    <w:p>
      <w:pPr>
        <w:spacing w:after="90" w:before="0" w:line="300"/>
      </w:pPr>
      <w:r>
        <w:rPr>
          <w:b/>
          <w:bCs/>
          <w:color w:val="475569"/>
          <w:sz w:val="15"/>
          <w:szCs w:val="15"/>
        </w:rPr>
        <w:t xml:space="preserve">EN</w:t>
      </w:r>
      <w:r>
        <w:t xml:space="preserve"> </w:t>
      </w:r>
      <w:r>
        <w:rPr>
          <w:color w:val="111827"/>
          <w:sz w:val="21"/>
          <w:szCs w:val="21"/>
        </w:rPr>
        <w:t xml:space="preserve">Are RISE with SAP and Private Cloud the same thing?</w:t>
      </w:r>
    </w:p>
    <w:p>
      <w:pPr>
        <w:spacing w:after="40" w:before="200"/>
      </w:pPr>
      <w:r>
        <w:rPr>
          <w:b/>
          <w:bCs/>
          <w:color w:val="6B7280"/>
          <w:sz w:val="16"/>
          <w:szCs w:val="16"/>
        </w:rPr>
        <w:t xml:space="preserve">CEVAP</w:t>
      </w:r>
    </w:p>
    <w:p>
      <w:pPr>
        <w:spacing w:after="90" w:before="0" w:line="300"/>
      </w:pPr>
      <w:r>
        <w:rPr>
          <w:b/>
          <w:bCs/>
          <w:color w:val="B45309"/>
          <w:sz w:val="15"/>
          <w:szCs w:val="15"/>
        </w:rPr>
        <w:t xml:space="preserve">TR</w:t>
      </w:r>
      <w:r>
        <w:t xml:space="preserve"> </w:t>
      </w:r>
      <w:r>
        <w:rPr>
          <w:color w:val="111827"/>
          <w:sz w:val="21"/>
          <w:szCs w:val="21"/>
        </w:rPr>
        <w:t xml:space="preserve">Tam olarak değil. RISE with SAP, altyapı, lisans ve belirli hizmetleri bir araya getiren ticari bir paket; Cloud ERP Private Edition ise bu paket içinde yer alan ERP çözümüdür. Pratikte önemli olan ayrım şudur: RISE altyapıyı devralır, süreç tasarımını ve uygulama işini devralmaz.</w:t>
      </w:r>
    </w:p>
    <w:p>
      <w:pPr>
        <w:spacing w:after="90" w:before="0" w:line="300"/>
      </w:pPr>
      <w:r>
        <w:rPr>
          <w:b/>
          <w:bCs/>
          <w:color w:val="475569"/>
          <w:sz w:val="15"/>
          <w:szCs w:val="15"/>
        </w:rPr>
        <w:t xml:space="preserve">EN</w:t>
      </w:r>
      <w:r>
        <w:t xml:space="preserve"> </w:t>
      </w:r>
      <w:r>
        <w:rPr>
          <w:color w:val="111827"/>
          <w:sz w:val="21"/>
          <w:szCs w:val="21"/>
        </w:rPr>
        <w:t xml:space="preserve">Not quite. RISE with SAP is a commercial bundle combining infrastructure, licensing and certain services; Cloud ERP Private Edition is the ERP solution within that bundle. The distinction that matters in practice: RISE takes over the infrastructure, not the process design or the implementation work.</w:t>
      </w:r>
    </w:p>
    <w:p>
      <w:pPr>
        <w:pStyle w:val="Heading2"/>
        <w:spacing w:after="100" w:before="280"/>
      </w:pPr>
      <w:r>
        <w:rPr>
          <w:b/>
          <w:bCs/>
          <w:color w:val="111827"/>
          <w:sz w:val="25"/>
          <w:szCs w:val="25"/>
        </w:rPr>
        <w:t xml:space="preserve">2. Public Cloud yerine neden Private Cloud seçelim?</w:t>
      </w:r>
    </w:p>
    <w:p>
      <w:pPr>
        <w:spacing w:after="40" w:before="200"/>
      </w:pPr>
      <w:r>
        <w:rPr>
          <w:b/>
          <w:bCs/>
          <w:color w:val="6B7280"/>
          <w:sz w:val="16"/>
          <w:szCs w:val="16"/>
        </w:rPr>
        <w:t xml:space="preserve">SORU</w:t>
      </w:r>
    </w:p>
    <w:p>
      <w:pPr>
        <w:spacing w:after="90" w:before="0" w:line="300"/>
      </w:pPr>
      <w:r>
        <w:rPr>
          <w:b/>
          <w:bCs/>
          <w:color w:val="B45309"/>
          <w:sz w:val="15"/>
          <w:szCs w:val="15"/>
        </w:rPr>
        <w:t xml:space="preserve">TR</w:t>
      </w:r>
      <w:r>
        <w:t xml:space="preserve"> </w:t>
      </w:r>
      <w:r>
        <w:rPr>
          <w:color w:val="111827"/>
          <w:sz w:val="21"/>
          <w:szCs w:val="21"/>
        </w:rPr>
        <w:t xml:space="preserve">Public Cloud yerine neden Private Cloud seçelim?</w:t>
      </w:r>
    </w:p>
    <w:p>
      <w:pPr>
        <w:spacing w:after="90" w:before="0" w:line="300"/>
      </w:pPr>
      <w:r>
        <w:rPr>
          <w:b/>
          <w:bCs/>
          <w:color w:val="475569"/>
          <w:sz w:val="15"/>
          <w:szCs w:val="15"/>
        </w:rPr>
        <w:t xml:space="preserve">EN</w:t>
      </w:r>
      <w:r>
        <w:t xml:space="preserve"> </w:t>
      </w:r>
      <w:r>
        <w:rPr>
          <w:color w:val="111827"/>
          <w:sz w:val="21"/>
          <w:szCs w:val="21"/>
        </w:rPr>
        <w:t xml:space="preserve">Why choose Private over Public Cloud?</w:t>
      </w:r>
    </w:p>
    <w:p>
      <w:pPr>
        <w:spacing w:after="40" w:before="200"/>
      </w:pPr>
      <w:r>
        <w:rPr>
          <w:b/>
          <w:bCs/>
          <w:color w:val="6B7280"/>
          <w:sz w:val="16"/>
          <w:szCs w:val="16"/>
        </w:rPr>
        <w:t xml:space="preserve">CEVAP</w:t>
      </w:r>
    </w:p>
    <w:p>
      <w:pPr>
        <w:spacing w:after="90" w:before="0" w:line="300"/>
      </w:pPr>
      <w:r>
        <w:rPr>
          <w:b/>
          <w:bCs/>
          <w:color w:val="B45309"/>
          <w:sz w:val="15"/>
          <w:szCs w:val="15"/>
        </w:rPr>
        <w:t xml:space="preserve">TR</w:t>
      </w:r>
      <w:r>
        <w:t xml:space="preserve"> </w:t>
      </w:r>
      <w:r>
        <w:rPr>
          <w:color w:val="111827"/>
          <w:sz w:val="21"/>
          <w:szCs w:val="21"/>
        </w:rPr>
        <w:t xml:space="preserve">Süreçlerinizin standart kapsama sığmadığı, ağır entegrasyon mirasınız olduğu ya da düzenleyici nedenlerle daha fazla kontrol gerektiği durumlarda. Bu bir prestij tercihi değil bir uygunluk sorusudur; hangisinin size uyduğunu karşılaştırmalı olarak değerlendirdiğimiz ayrı bir çalışma vardır ve çözümler sayfamızdaki tablo bu karşılaştırmanın özetidir.</w:t>
      </w:r>
    </w:p>
    <w:p>
      <w:pPr>
        <w:spacing w:after="90" w:before="0" w:line="300"/>
      </w:pPr>
      <w:r>
        <w:rPr>
          <w:b/>
          <w:bCs/>
          <w:color w:val="475569"/>
          <w:sz w:val="15"/>
          <w:szCs w:val="15"/>
        </w:rPr>
        <w:t xml:space="preserve">EN</w:t>
      </w:r>
      <w:r>
        <w:t xml:space="preserve"> </w:t>
      </w:r>
      <w:r>
        <w:rPr>
          <w:color w:val="111827"/>
          <w:sz w:val="21"/>
          <w:szCs w:val="21"/>
        </w:rPr>
        <w:t xml:space="preserve">When your processes fall outside standard scope, when you carry substantial integration history, or when regulation requires more control. It is a question of fit rather than prestige. Our solutions overview page carries a direct comparison of the two models across cost, flexibility, upgrade cadence and suitability.</w:t>
      </w:r>
    </w:p>
    <w:p>
      <w:pPr>
        <w:pStyle w:val="Heading2"/>
        <w:spacing w:after="100" w:before="280"/>
      </w:pPr>
      <w:r>
        <w:rPr>
          <w:b/>
          <w:bCs/>
          <w:color w:val="111827"/>
          <w:sz w:val="25"/>
          <w:szCs w:val="25"/>
        </w:rPr>
        <w:t xml:space="preserve">3. Mevcut özelleştirmelerimizin hepsini taşıyabilir miyiz?</w:t>
      </w:r>
    </w:p>
    <w:p>
      <w:pPr>
        <w:spacing w:after="40" w:before="200"/>
      </w:pPr>
      <w:r>
        <w:rPr>
          <w:b/>
          <w:bCs/>
          <w:color w:val="6B7280"/>
          <w:sz w:val="16"/>
          <w:szCs w:val="16"/>
        </w:rPr>
        <w:t xml:space="preserve">SORU</w:t>
      </w:r>
    </w:p>
    <w:p>
      <w:pPr>
        <w:spacing w:after="90" w:before="0" w:line="300"/>
      </w:pPr>
      <w:r>
        <w:rPr>
          <w:b/>
          <w:bCs/>
          <w:color w:val="B45309"/>
          <w:sz w:val="15"/>
          <w:szCs w:val="15"/>
        </w:rPr>
        <w:t xml:space="preserve">TR</w:t>
      </w:r>
      <w:r>
        <w:t xml:space="preserve"> </w:t>
      </w:r>
      <w:r>
        <w:rPr>
          <w:color w:val="111827"/>
          <w:sz w:val="21"/>
          <w:szCs w:val="21"/>
        </w:rPr>
        <w:t xml:space="preserve">Mevcut özelleştirmelerimizin hepsini taşıyabilir miyiz?</w:t>
      </w:r>
    </w:p>
    <w:p>
      <w:pPr>
        <w:spacing w:after="90" w:before="0" w:line="300"/>
      </w:pPr>
      <w:r>
        <w:rPr>
          <w:b/>
          <w:bCs/>
          <w:color w:val="475569"/>
          <w:sz w:val="15"/>
          <w:szCs w:val="15"/>
        </w:rPr>
        <w:t xml:space="preserve">EN</w:t>
      </w:r>
      <w:r>
        <w:t xml:space="preserve"> </w:t>
      </w:r>
      <w:r>
        <w:rPr>
          <w:color w:val="111827"/>
          <w:sz w:val="21"/>
          <w:szCs w:val="21"/>
        </w:rPr>
        <w:t xml:space="preserve">Can we carry all our customisations across?</w:t>
      </w:r>
    </w:p>
    <w:p>
      <w:pPr>
        <w:spacing w:after="40" w:before="200"/>
      </w:pPr>
      <w:r>
        <w:rPr>
          <w:b/>
          <w:bCs/>
          <w:color w:val="6B7280"/>
          <w:sz w:val="16"/>
          <w:szCs w:val="16"/>
        </w:rPr>
        <w:t xml:space="preserve">CEVAP</w:t>
      </w:r>
    </w:p>
    <w:p>
      <w:pPr>
        <w:spacing w:after="90" w:before="0" w:line="300"/>
      </w:pPr>
      <w:r>
        <w:rPr>
          <w:b/>
          <w:bCs/>
          <w:color w:val="B45309"/>
          <w:sz w:val="15"/>
          <w:szCs w:val="15"/>
        </w:rPr>
        <w:t xml:space="preserve">TR</w:t>
      </w:r>
      <w:r>
        <w:t xml:space="preserve"> </w:t>
      </w:r>
      <w:r>
        <w:rPr>
          <w:color w:val="111827"/>
          <w:sz w:val="21"/>
          <w:szCs w:val="21"/>
        </w:rPr>
        <w:t xml:space="preserve">Teknik olarak büyük ölçüde evet, ama önerimiz genellikle hayır. Geçiş, kullanılmayan geliştirmeleri ayıklamak için en düşük maliyetli andır. Kullanım verisine bakarak neyin gerçekten çalıştığını çıkarır, kararı sizinle birlikte veririz.</w:t>
      </w:r>
    </w:p>
    <w:p>
      <w:pPr>
        <w:spacing w:after="90" w:before="0" w:line="300"/>
      </w:pPr>
      <w:r>
        <w:rPr>
          <w:b/>
          <w:bCs/>
          <w:color w:val="475569"/>
          <w:sz w:val="15"/>
          <w:szCs w:val="15"/>
        </w:rPr>
        <w:t xml:space="preserve">EN</w:t>
      </w:r>
      <w:r>
        <w:t xml:space="preserve"> </w:t>
      </w:r>
      <w:r>
        <w:rPr>
          <w:color w:val="111827"/>
          <w:sz w:val="21"/>
          <w:szCs w:val="21"/>
        </w:rPr>
        <w:t xml:space="preserve">Technically, largely yes — but our recommendation is usually no. The migration is the lowest-cost opportunity you will get to retire dead development. We establish what actually executes from usage data and take the decision with you rather than for you.</w:t>
      </w:r>
    </w:p>
    <w:p>
      <w:pPr>
        <w:pStyle w:val="Heading2"/>
        <w:spacing w:after="100" w:before="280"/>
      </w:pPr>
      <w:r>
        <w:rPr>
          <w:b/>
          <w:bCs/>
          <w:color w:val="111827"/>
          <w:sz w:val="25"/>
          <w:szCs w:val="25"/>
        </w:rPr>
        <w:t xml:space="preserve">4. Altyapı sağlayıcımızla siz mi konuşacaksınız?</w:t>
      </w:r>
    </w:p>
    <w:p>
      <w:pPr>
        <w:spacing w:after="40" w:before="200"/>
      </w:pPr>
      <w:r>
        <w:rPr>
          <w:b/>
          <w:bCs/>
          <w:color w:val="6B7280"/>
          <w:sz w:val="16"/>
          <w:szCs w:val="16"/>
        </w:rPr>
        <w:t xml:space="preserve">SORU</w:t>
      </w:r>
    </w:p>
    <w:p>
      <w:pPr>
        <w:spacing w:after="90" w:before="0" w:line="300"/>
      </w:pPr>
      <w:r>
        <w:rPr>
          <w:b/>
          <w:bCs/>
          <w:color w:val="B45309"/>
          <w:sz w:val="15"/>
          <w:szCs w:val="15"/>
        </w:rPr>
        <w:t xml:space="preserve">TR</w:t>
      </w:r>
      <w:r>
        <w:t xml:space="preserve"> </w:t>
      </w:r>
      <w:r>
        <w:rPr>
          <w:color w:val="111827"/>
          <w:sz w:val="21"/>
          <w:szCs w:val="21"/>
        </w:rPr>
        <w:t xml:space="preserve">Altyapı sağlayıcımızla siz mi konuşacaksınız?</w:t>
      </w:r>
    </w:p>
    <w:p>
      <w:pPr>
        <w:spacing w:after="90" w:before="0" w:line="300"/>
      </w:pPr>
      <w:r>
        <w:rPr>
          <w:b/>
          <w:bCs/>
          <w:color w:val="475569"/>
          <w:sz w:val="15"/>
          <w:szCs w:val="15"/>
        </w:rPr>
        <w:t xml:space="preserve">EN</w:t>
      </w:r>
      <w:r>
        <w:t xml:space="preserve"> </w:t>
      </w:r>
      <w:r>
        <w:rPr>
          <w:color w:val="111827"/>
          <w:sz w:val="21"/>
          <w:szCs w:val="21"/>
        </w:rPr>
        <w:t xml:space="preserve">Will you deal with our hosting provider?</w:t>
      </w:r>
    </w:p>
    <w:p>
      <w:pPr>
        <w:spacing w:after="40" w:before="200"/>
      </w:pPr>
      <w:r>
        <w:rPr>
          <w:b/>
          <w:bCs/>
          <w:color w:val="6B7280"/>
          <w:sz w:val="16"/>
          <w:szCs w:val="16"/>
        </w:rPr>
        <w:t xml:space="preserve">CEVAP</w:t>
      </w:r>
    </w:p>
    <w:p>
      <w:pPr>
        <w:spacing w:after="90" w:before="0" w:line="300"/>
      </w:pPr>
      <w:r>
        <w:rPr>
          <w:b/>
          <w:bCs/>
          <w:color w:val="B45309"/>
          <w:sz w:val="15"/>
          <w:szCs w:val="15"/>
        </w:rPr>
        <w:t xml:space="preserve">TR</w:t>
      </w:r>
      <w:r>
        <w:t xml:space="preserve"> </w:t>
      </w:r>
      <w:r>
        <w:rPr>
          <w:color w:val="111827"/>
          <w:sz w:val="21"/>
          <w:szCs w:val="21"/>
        </w:rPr>
        <w:t xml:space="preserve">Evet, teknik koordinasyon mimarımızın sorumluluğundadır. Sağlayıcı bağımlılıkları kritik yol üzerinde olduğu için ayrı takip edilir ve haftalık durum raporunda ayrı bir başlık olarak yer alır.</w:t>
      </w:r>
    </w:p>
    <w:p>
      <w:pPr>
        <w:spacing w:after="90" w:before="0" w:line="300"/>
      </w:pPr>
      <w:r>
        <w:rPr>
          <w:b/>
          <w:bCs/>
          <w:color w:val="475569"/>
          <w:sz w:val="15"/>
          <w:szCs w:val="15"/>
        </w:rPr>
        <w:t xml:space="preserve">EN</w:t>
      </w:r>
      <w:r>
        <w:t xml:space="preserve"> </w:t>
      </w:r>
      <w:r>
        <w:rPr>
          <w:color w:val="111827"/>
          <w:sz w:val="21"/>
          <w:szCs w:val="21"/>
        </w:rPr>
        <w:t xml:space="preserve">Yes. Technical coordination sits with our architect. Provider dependencies are on the critical path, so they are tracked separately and reported as their own item in the weekly status.</w:t>
      </w:r>
    </w:p>
    <w:p>
      <w:pPr>
        <w:pStyle w:val="Heading2"/>
        <w:spacing w:after="100" w:before="280"/>
      </w:pPr>
      <w:r>
        <w:rPr>
          <w:b/>
          <w:bCs/>
          <w:color w:val="111827"/>
          <w:sz w:val="25"/>
          <w:szCs w:val="25"/>
        </w:rPr>
        <w:t xml:space="preserve">5. Felaket kurtarma ve yedekleme kimin sorumluluğunda?</w:t>
      </w:r>
    </w:p>
    <w:p>
      <w:pPr>
        <w:spacing w:after="40" w:before="200"/>
      </w:pPr>
      <w:r>
        <w:rPr>
          <w:b/>
          <w:bCs/>
          <w:color w:val="6B7280"/>
          <w:sz w:val="16"/>
          <w:szCs w:val="16"/>
        </w:rPr>
        <w:t xml:space="preserve">SORU</w:t>
      </w:r>
    </w:p>
    <w:p>
      <w:pPr>
        <w:spacing w:after="90" w:before="0" w:line="300"/>
      </w:pPr>
      <w:r>
        <w:rPr>
          <w:b/>
          <w:bCs/>
          <w:color w:val="B45309"/>
          <w:sz w:val="15"/>
          <w:szCs w:val="15"/>
        </w:rPr>
        <w:t xml:space="preserve">TR</w:t>
      </w:r>
      <w:r>
        <w:t xml:space="preserve"> </w:t>
      </w:r>
      <w:r>
        <w:rPr>
          <w:color w:val="111827"/>
          <w:sz w:val="21"/>
          <w:szCs w:val="21"/>
        </w:rPr>
        <w:t xml:space="preserve">Felaket kurtarma ve yedekleme kimin sorumluluğunda?</w:t>
      </w:r>
    </w:p>
    <w:p>
      <w:pPr>
        <w:spacing w:after="90" w:before="0" w:line="300"/>
      </w:pPr>
      <w:r>
        <w:rPr>
          <w:b/>
          <w:bCs/>
          <w:color w:val="475569"/>
          <w:sz w:val="15"/>
          <w:szCs w:val="15"/>
        </w:rPr>
        <w:t xml:space="preserve">EN</w:t>
      </w:r>
      <w:r>
        <w:t xml:space="preserve"> </w:t>
      </w:r>
      <w:r>
        <w:rPr>
          <w:color w:val="111827"/>
          <w:sz w:val="21"/>
          <w:szCs w:val="21"/>
        </w:rPr>
        <w:t xml:space="preserve">Who is responsible for backup and disaster recovery?</w:t>
      </w:r>
    </w:p>
    <w:p>
      <w:pPr>
        <w:spacing w:after="40" w:before="200"/>
      </w:pPr>
      <w:r>
        <w:rPr>
          <w:b/>
          <w:bCs/>
          <w:color w:val="6B7280"/>
          <w:sz w:val="16"/>
          <w:szCs w:val="16"/>
        </w:rPr>
        <w:t xml:space="preserve">CEVAP</w:t>
      </w:r>
    </w:p>
    <w:p>
      <w:pPr>
        <w:spacing w:after="90" w:before="0" w:line="300"/>
      </w:pPr>
      <w:r>
        <w:rPr>
          <w:b/>
          <w:bCs/>
          <w:color w:val="B45309"/>
          <w:sz w:val="15"/>
          <w:szCs w:val="15"/>
        </w:rPr>
        <w:t xml:space="preserve">TR</w:t>
      </w:r>
      <w:r>
        <w:t xml:space="preserve"> </w:t>
      </w:r>
      <w:r>
        <w:rPr>
          <w:color w:val="111827"/>
          <w:sz w:val="21"/>
          <w:szCs w:val="21"/>
        </w:rPr>
        <w:t xml:space="preserve">Bu, sözleşmenizin hangi hizmet seviyesini içerdiğine bağlıdır ve varsayımla ilerlenmemesi gereken bir konudur. Kapsam okuması aşamasında taahhüt edilen kurtarma süresi ve kurtarma noktası hedeflerini iş biriminin beklentisiyle karşılaştırır, aradaki farkı yazılı olarak önünüze koyarız.</w:t>
      </w:r>
    </w:p>
    <w:p>
      <w:pPr>
        <w:spacing w:after="90" w:before="0" w:line="300"/>
      </w:pPr>
      <w:r>
        <w:rPr>
          <w:b/>
          <w:bCs/>
          <w:color w:val="475569"/>
          <w:sz w:val="15"/>
          <w:szCs w:val="15"/>
        </w:rPr>
        <w:t xml:space="preserve">EN</w:t>
      </w:r>
      <w:r>
        <w:t xml:space="preserve"> </w:t>
      </w:r>
      <w:r>
        <w:rPr>
          <w:color w:val="111827"/>
          <w:sz w:val="21"/>
          <w:szCs w:val="21"/>
        </w:rPr>
        <w:t xml:space="preserve">It depends on the service level in your specific agreement, and it is not a topic to proceed on by assumption. During the scope reading we compare the committed recovery time and recovery point objectives against what the business believes it has, and put any difference in front of you in writing.</w:t>
      </w:r>
    </w:p>
    <w:p>
      <w:pPr>
        <w:pStyle w:val="Heading1"/>
        <w:pBdr>
          <w:bottom w:val="single" w:color="D1D5DB" w:sz="6" w:space="6"/>
        </w:pBdr>
        <w:spacing w:after="100" w:before="400"/>
      </w:pPr>
      <w:r>
        <w:rPr>
          <w:b/>
          <w:bCs/>
          <w:color w:val="111827"/>
          <w:sz w:val="30"/>
          <w:szCs w:val="30"/>
        </w:rPr>
        <w:t xml:space="preserve">Karşılaştırma tablosundaki satır</w:t>
      </w:r>
    </w:p>
    <w:p>
      <w:pPr>
        <w:spacing w:after="140" w:before="0"/>
      </w:pPr>
      <w:r>
        <w:rPr>
          <w:i/>
          <w:iCs/>
          <w:color w:val="6B7280"/>
          <w:sz w:val="17"/>
          <w:szCs w:val="17"/>
        </w:rPr>
        <w:t xml:space="preserve">Bu çözümün, Çözümler sayfasındaki karşılaştırma tablosunda yer alan satırı.</w:t>
      </w:r>
    </w:p>
    <w:p>
      <w:pPr>
        <w:spacing w:after="40" w:before="200"/>
      </w:pPr>
      <w:r>
        <w:rPr>
          <w:b/>
          <w:bCs/>
          <w:color w:val="6B7280"/>
          <w:sz w:val="16"/>
          <w:szCs w:val="16"/>
        </w:rPr>
        <w:t xml:space="preserve">KİME UYGUN</w:t>
      </w:r>
    </w:p>
    <w:p>
      <w:pPr>
        <w:spacing w:after="90" w:before="0" w:line="300"/>
      </w:pPr>
      <w:r>
        <w:rPr>
          <w:b/>
          <w:bCs/>
          <w:color w:val="B45309"/>
          <w:sz w:val="15"/>
          <w:szCs w:val="15"/>
        </w:rPr>
        <w:t xml:space="preserve">TR</w:t>
      </w:r>
      <w:r>
        <w:t xml:space="preserve"> </w:t>
      </w:r>
      <w:r>
        <w:rPr>
          <w:color w:val="111827"/>
          <w:sz w:val="21"/>
          <w:szCs w:val="21"/>
        </w:rPr>
        <w:t xml:space="preserve">Süreç esnekliğini korumak zorunda olan büyük ölçekli şirketler</w:t>
      </w:r>
    </w:p>
    <w:p>
      <w:pPr>
        <w:spacing w:after="90" w:before="0" w:line="300"/>
      </w:pPr>
      <w:r>
        <w:rPr>
          <w:b/>
          <w:bCs/>
          <w:color w:val="475569"/>
          <w:sz w:val="15"/>
          <w:szCs w:val="15"/>
        </w:rPr>
        <w:t xml:space="preserve">EN</w:t>
      </w:r>
      <w:r>
        <w:t xml:space="preserve"> </w:t>
      </w:r>
      <w:r>
        <w:rPr>
          <w:color w:val="111827"/>
          <w:sz w:val="21"/>
          <w:szCs w:val="21"/>
        </w:rPr>
        <w:t xml:space="preserve">Larger organisations that must retain process flexibility</w:t>
      </w:r>
    </w:p>
    <w:p>
      <w:pPr>
        <w:spacing w:after="40" w:before="200"/>
      </w:pPr>
      <w:r>
        <w:rPr>
          <w:b/>
          <w:bCs/>
          <w:color w:val="6B7280"/>
          <w:sz w:val="16"/>
          <w:szCs w:val="16"/>
        </w:rPr>
        <w:t xml:space="preserve">SÜRE</w:t>
      </w:r>
    </w:p>
    <w:p>
      <w:pPr>
        <w:spacing w:after="90" w:before="0" w:line="300"/>
      </w:pPr>
      <w:r>
        <w:rPr>
          <w:b/>
          <w:bCs/>
          <w:color w:val="B45309"/>
          <w:sz w:val="15"/>
          <w:szCs w:val="15"/>
        </w:rPr>
        <w:t xml:space="preserve">TR</w:t>
      </w:r>
      <w:r>
        <w:t xml:space="preserve"> </w:t>
      </w:r>
      <w:r>
        <w:rPr>
          <w:color w:val="111827"/>
          <w:sz w:val="21"/>
          <w:szCs w:val="21"/>
        </w:rPr>
        <w:t xml:space="preserve">Hazırlık 5–8 hafta, geçiş 7–14 ay</w:t>
      </w:r>
    </w:p>
    <w:p>
      <w:pPr>
        <w:spacing w:after="90" w:before="0" w:line="300"/>
      </w:pPr>
      <w:r>
        <w:rPr>
          <w:b/>
          <w:bCs/>
          <w:color w:val="475569"/>
          <w:sz w:val="15"/>
          <w:szCs w:val="15"/>
        </w:rPr>
        <w:t xml:space="preserve">EN</w:t>
      </w:r>
      <w:r>
        <w:t xml:space="preserve"> </w:t>
      </w:r>
      <w:r>
        <w:rPr>
          <w:color w:val="111827"/>
          <w:sz w:val="21"/>
          <w:szCs w:val="21"/>
        </w:rPr>
        <w:t xml:space="preserve">Preparation 5–8 weeks, migration 7–14 months</w:t>
      </w:r>
    </w:p>
    <w:p>
      <w:pPr>
        <w:spacing w:after="40" w:before="200"/>
      </w:pPr>
      <w:r>
        <w:rPr>
          <w:b/>
          <w:bCs/>
          <w:color w:val="6B7280"/>
          <w:sz w:val="16"/>
          <w:szCs w:val="16"/>
        </w:rPr>
        <w:t xml:space="preserve">ANA KAZANIM</w:t>
      </w:r>
    </w:p>
    <w:p>
      <w:pPr>
        <w:spacing w:after="90" w:before="0" w:line="300"/>
      </w:pPr>
      <w:r>
        <w:rPr>
          <w:b/>
          <w:bCs/>
          <w:color w:val="B45309"/>
          <w:sz w:val="15"/>
          <w:szCs w:val="15"/>
        </w:rPr>
        <w:t xml:space="preserve">TR</w:t>
      </w:r>
      <w:r>
        <w:t xml:space="preserve"> </w:t>
      </w:r>
      <w:r>
        <w:rPr>
          <w:color w:val="111827"/>
          <w:sz w:val="21"/>
          <w:szCs w:val="21"/>
        </w:rPr>
        <w:t xml:space="preserve">Esnekliği koruyarak altyapı yükünden kurtulma</w:t>
      </w:r>
    </w:p>
    <w:p>
      <w:pPr>
        <w:spacing w:after="90" w:before="0" w:line="300"/>
      </w:pPr>
      <w:r>
        <w:rPr>
          <w:b/>
          <w:bCs/>
          <w:color w:val="475569"/>
          <w:sz w:val="15"/>
          <w:szCs w:val="15"/>
        </w:rPr>
        <w:t xml:space="preserve">EN</w:t>
      </w:r>
      <w:r>
        <w:t xml:space="preserve"> </w:t>
      </w:r>
      <w:r>
        <w:rPr>
          <w:color w:val="111827"/>
          <w:sz w:val="21"/>
          <w:szCs w:val="21"/>
        </w:rPr>
        <w:t xml:space="preserve">Cloud operations without giving up flexibility</w:t>
      </w:r>
    </w:p>
    <w:sectPr>
      <w:footerReference w:type="default" r:id="rId7"/>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5"/>
        <w:szCs w:val="15"/>
      </w:rPr>
      <w:t xml:space="preserve">SAP Private Cloud Çözüm Sayfası Metinleri  ·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Private Cloud Çözüm Sayfası Metinleri</dc:title>
  <dc:creator>CPeak Consultancy</dc:creator>
  <dc:description>Kaynak: src/data/solutions/privateCloud.ts</dc:description>
  <cp:lastModifiedBy>Un-named</cp:lastModifiedBy>
  <cp:revision>1</cp:revision>
  <dcterms:created xsi:type="dcterms:W3CDTF">2026-08-16T20:34:28.171Z</dcterms:created>
  <dcterms:modified xsi:type="dcterms:W3CDTF">2026-08-16T20:34:28.171Z</dcterms:modified>
</cp:coreProperties>
</file>

<file path=docProps/custom.xml><?xml version="1.0" encoding="utf-8"?>
<Properties xmlns="http://schemas.openxmlformats.org/officeDocument/2006/custom-properties" xmlns:vt="http://schemas.openxmlformats.org/officeDocument/2006/docPropsVTypes"/>
</file>