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EE5BBA" wp14:textId="77777777">
      <w:pPr>
        <w:spacing w:after="60"/>
      </w:pPr>
      <w:r w:rsidRPr="6A3CC854" w:rsidR="6A3CC854">
        <w:rPr>
          <w:b w:val="1"/>
          <w:bCs w:val="1"/>
          <w:caps w:val="1"/>
          <w:color w:val="6B7280"/>
          <w:sz w:val="17"/>
          <w:szCs w:val="17"/>
          <w:lang w:val="en-US"/>
        </w:rPr>
        <w:t>CPeak Consultancy — Site Metinleri</w:t>
      </w:r>
    </w:p>
    <w:p xmlns:wp14="http://schemas.microsoft.com/office/word/2010/wordml" w14:paraId="67084410" wp14:textId="77777777">
      <w:pPr>
        <w:spacing w:after="120"/>
      </w:pPr>
      <w:r w:rsidRPr="6A3CC854" w:rsidR="6A3CC854">
        <w:rPr>
          <w:b w:val="1"/>
          <w:bCs w:val="1"/>
          <w:color w:val="111827"/>
          <w:sz w:val="40"/>
          <w:szCs w:val="40"/>
          <w:lang w:val="en-US"/>
        </w:rPr>
        <w:t>S/4HANA Dönüşümü Çözüm Sayfası Metinleri</w:t>
      </w:r>
    </w:p>
    <w:p xmlns:wp14="http://schemas.microsoft.com/office/word/2010/wordml" w:rsidP="6A3CC854" w14:paraId="195DE7D1" wp14:textId="77777777">
      <w:pPr>
        <w:pBdr>
          <w:bottom w:val="single" w:color="B45309" w:sz="8" w:space="8"/>
        </w:pBdr>
        <w:spacing w:after="300"/>
      </w:pPr>
      <w:r w:rsidRPr="6A3CC854" w:rsidR="6A3CC854">
        <w:rPr>
          <w:color w:val="6B7280"/>
          <w:sz w:val="17"/>
          <w:szCs w:val="17"/>
          <w:lang w:val="en-US"/>
        </w:rPr>
        <w:t>Kaynak dosya: src/data/solutions/s4hana.ts</w:t>
      </w:r>
    </w:p>
    <w:p xmlns:wp14="http://schemas.microsoft.com/office/word/2010/wordml" w14:paraId="1F03757C" wp14:textId="77777777">
      <w:pPr>
        <w:spacing w:after="100"/>
      </w:pPr>
      <w:r w:rsidRPr="6A3CC854" w:rsidR="6A3CC854">
        <w:rPr>
          <w:b w:val="1"/>
          <w:bCs w:val="1"/>
          <w:color w:val="111827"/>
          <w:sz w:val="22"/>
          <w:szCs w:val="22"/>
          <w:lang w:val="en-US"/>
        </w:rPr>
        <w:t>Bu belge nedir?</w:t>
      </w:r>
    </w:p>
    <w:p xmlns:wp14="http://schemas.microsoft.com/office/word/2010/wordml" w14:paraId="58EEADF9" wp14:textId="77777777">
      <w:pPr>
        <w:spacing w:after="120" w:line="300" w:lineRule="auto"/>
      </w:pPr>
      <w:r w:rsidRPr="6A3CC854" w:rsidR="6A3CC854">
        <w:rPr>
          <w:color w:val="111827"/>
          <w:sz w:val="21"/>
          <w:szCs w:val="21"/>
          <w:lang w:val="en-US"/>
        </w:rPr>
        <w:t>Web sitesinde sabit olarak duran yazıların tamamı bu belgede toplanmıştır. Başlıklar, sitedeki bölümlere karşılık gelir; her başlığın altında o bölümde geçen metinler yer alır.</w:t>
      </w:r>
    </w:p>
    <w:p xmlns:wp14="http://schemas.microsoft.com/office/word/2010/wordml" w14:paraId="74A5E058" wp14:textId="77777777">
      <w:pPr>
        <w:spacing w:after="100"/>
      </w:pPr>
      <w:r w:rsidRPr="6A3CC854" w:rsidR="6A3CC854">
        <w:rPr>
          <w:b w:val="1"/>
          <w:bCs w:val="1"/>
          <w:color w:val="111827"/>
          <w:sz w:val="22"/>
          <w:szCs w:val="22"/>
          <w:lang w:val="en-US"/>
        </w:rPr>
        <w:t>Nasıl okunur, nasıl düzenlenir?</w:t>
      </w:r>
    </w:p>
    <w:p xmlns:wp14="http://schemas.microsoft.com/office/word/2010/wordml" w14:paraId="49BDA9DF" wp14:textId="77777777">
      <w:pPr>
        <w:spacing w:after="80" w:line="300" w:lineRule="auto"/>
        <w:ind w:left="340" w:hanging="220"/>
      </w:pPr>
      <w:r w:rsidRPr="6A3CC854" w:rsidR="6A3CC854">
        <w:rPr>
          <w:color w:val="6B7280"/>
          <w:sz w:val="21"/>
          <w:szCs w:val="21"/>
          <w:lang w:val="en-US"/>
        </w:rPr>
        <w:t>• </w:t>
      </w:r>
      <w:r w:rsidRPr="6A3CC854" w:rsidR="6A3CC854">
        <w:rPr>
          <w:b w:val="1"/>
          <w:bCs w:val="1"/>
          <w:color w:val="B45309"/>
          <w:sz w:val="16"/>
          <w:szCs w:val="16"/>
          <w:lang w:val="en-US"/>
        </w:rPr>
        <w:t>TR</w:t>
      </w:r>
      <w:r w:rsidRPr="6A3CC854" w:rsidR="6A3CC854">
        <w:rPr>
          <w:color w:val="111827"/>
          <w:sz w:val="21"/>
          <w:szCs w:val="21"/>
          <w:lang w:val="en-US"/>
        </w:rPr>
        <w:t xml:space="preserve"> işareti Türkçe metni, </w:t>
      </w:r>
      <w:r w:rsidRPr="6A3CC854" w:rsidR="6A3CC854">
        <w:rPr>
          <w:b w:val="1"/>
          <w:bCs w:val="1"/>
          <w:color w:val="475569"/>
          <w:sz w:val="16"/>
          <w:szCs w:val="16"/>
          <w:lang w:val="en-US"/>
        </w:rPr>
        <w:t>EN</w:t>
      </w:r>
      <w:r w:rsidRPr="6A3CC854" w:rsidR="6A3CC854">
        <w:rPr>
          <w:color w:val="111827"/>
          <w:sz w:val="21"/>
          <w:szCs w:val="21"/>
          <w:lang w:val="en-US"/>
        </w:rPr>
        <w:t xml:space="preserve"> işareti aynı metnin İngilizcesini gösterir; ikisi her zaman art arda gelir.</w:t>
      </w:r>
    </w:p>
    <w:p xmlns:wp14="http://schemas.microsoft.com/office/word/2010/wordml" w14:paraId="46582892" wp14:textId="77777777">
      <w:pPr>
        <w:spacing w:after="80" w:line="300" w:lineRule="auto"/>
        <w:ind w:left="340" w:hanging="220"/>
      </w:pPr>
      <w:r w:rsidRPr="6A3CC854" w:rsidR="6A3CC854">
        <w:rPr>
          <w:color w:val="6B7280"/>
          <w:sz w:val="21"/>
          <w:szCs w:val="21"/>
          <w:lang w:val="en-US"/>
        </w:rPr>
        <w:t>• </w:t>
      </w:r>
      <w:r w:rsidRPr="6A3CC854" w:rsidR="6A3CC854">
        <w:rPr>
          <w:color w:val="111827"/>
          <w:sz w:val="21"/>
          <w:szCs w:val="21"/>
          <w:lang w:val="en-US"/>
        </w:rPr>
        <w:t>Küçük ve gri yazılmış satırlar alan adlarıdır (örneğin “ANA BAŞLIK”). Bunlar sitede görünmez, yalnızca hangi metnin nereye ait olduğunu söyler.</w:t>
      </w:r>
    </w:p>
    <w:p xmlns:wp14="http://schemas.microsoft.com/office/word/2010/wordml" w14:paraId="735A76FD" wp14:textId="77777777">
      <w:pPr>
        <w:spacing w:after="80" w:line="300" w:lineRule="auto"/>
        <w:ind w:left="340" w:hanging="220"/>
      </w:pPr>
      <w:r w:rsidRPr="6A3CC854" w:rsidR="6A3CC854">
        <w:rPr>
          <w:color w:val="6B7280"/>
          <w:sz w:val="21"/>
          <w:szCs w:val="21"/>
          <w:lang w:val="en-US"/>
        </w:rPr>
        <w:t>• </w:t>
      </w:r>
      <w:r w:rsidRPr="6A3CC854" w:rsidR="6A3CC854">
        <w:rPr>
          <w:color w:val="111827"/>
          <w:sz w:val="21"/>
          <w:szCs w:val="21"/>
          <w:lang w:val="en-US"/>
        </w:rPr>
        <w:t>Metni doğrudan bu belgede değiştirebilirsiniz. Alan adlarını, numaraları ve başlık sırasını değiştirmeyin — geliştirici değişikliği bu sıraya bakarak siteye aktarır.</w:t>
      </w:r>
    </w:p>
    <w:p xmlns:wp14="http://schemas.microsoft.com/office/word/2010/wordml" w14:paraId="3E809A5A" wp14:textId="77777777">
      <w:pPr>
        <w:spacing w:after="80" w:line="300" w:lineRule="auto"/>
        <w:ind w:left="340" w:hanging="220"/>
      </w:pPr>
      <w:r w:rsidRPr="6A3CC854" w:rsidR="6A3CC854">
        <w:rPr>
          <w:color w:val="6B7280"/>
          <w:sz w:val="21"/>
          <w:szCs w:val="21"/>
          <w:lang w:val="en-US"/>
        </w:rPr>
        <w:t>• </w:t>
      </w:r>
      <w:r w:rsidRPr="6A3CC854" w:rsidR="6A3CC854">
        <w:rPr>
          <w:color w:val="111827"/>
          <w:sz w:val="21"/>
          <w:szCs w:val="21"/>
          <w:lang w:val="en-US"/>
        </w:rPr>
        <w:t>Bir metni tamamen kaldırmak istiyorsanız silmek yerine yanına not düşün; bazı alanlar boş kalırsa sitede hata görünür.</w:t>
      </w:r>
    </w:p>
    <w:p xmlns:wp14="http://schemas.microsoft.com/office/word/2010/wordml" w14:paraId="46EA8E91" wp14:textId="77777777">
      <w:pPr>
        <w:spacing w:after="80" w:line="300" w:lineRule="auto"/>
        <w:ind w:left="340" w:hanging="220"/>
      </w:pPr>
      <w:r w:rsidRPr="6A3CC854" w:rsidR="6A3CC854">
        <w:rPr>
          <w:color w:val="6B7280"/>
          <w:sz w:val="21"/>
          <w:szCs w:val="21"/>
          <w:lang w:val="en-US"/>
        </w:rPr>
        <w:t>• </w:t>
      </w:r>
      <w:r w:rsidRPr="6A3CC854" w:rsidR="6A3CC854">
        <w:rPr>
          <w:color w:val="111827"/>
          <w:sz w:val="21"/>
          <w:szCs w:val="21"/>
          <w:lang w:val="en-US"/>
        </w:rPr>
        <w:t>Eğik yazılmış gri açıklamalar, o bölümün sitede nerede göründüğünü anlatır.</w:t>
      </w:r>
    </w:p>
    <w:p xmlns:wp14="http://schemas.microsoft.com/office/word/2010/wordml" w:rsidP="6A3CC854" w14:paraId="28682E8B" wp14:textId="77777777">
      <w:pPr>
        <w:pStyle w:val="Heading1"/>
        <w:pBdr>
          <w:bottom w:val="single" w:color="D1D5DB" w:sz="6" w:space="6"/>
        </w:pBdr>
        <w:spacing w:before="400" w:after="100"/>
      </w:pPr>
      <w:r w:rsidRPr="6A3CC854" w:rsidR="6A3CC854">
        <w:rPr>
          <w:b w:val="1"/>
          <w:bCs w:val="1"/>
          <w:color w:val="111827"/>
          <w:sz w:val="30"/>
          <w:szCs w:val="30"/>
          <w:lang w:val="en-US"/>
        </w:rPr>
        <w:t>Menü ve kart metinleri</w:t>
      </w:r>
    </w:p>
    <w:p xmlns:wp14="http://schemas.microsoft.com/office/word/2010/wordml" w14:paraId="615BE1CE" wp14:textId="77777777">
      <w:pPr>
        <w:spacing w:before="200" w:after="40"/>
      </w:pPr>
      <w:r>
        <w:rPr>
          <w:b/>
          <w:bCs/>
          <w:color w:val="6B7280"/>
          <w:sz w:val="16"/>
          <w:szCs w:val="16"/>
        </w:rPr>
        <w:t xml:space="preserve">MENÜDE GÖRÜNEN AD</w:t>
      </w:r>
    </w:p>
    <w:p xmlns:wp14="http://schemas.microsoft.com/office/word/2010/wordml" w14:paraId="5FA338B3" wp14:textId="77777777">
      <w:pPr>
        <w:spacing w:after="60"/>
      </w:pPr>
      <w:r w:rsidRPr="6A3CC854" w:rsidR="6A3CC854">
        <w:rPr>
          <w:i w:val="1"/>
          <w:iCs w:val="1"/>
          <w:color w:val="6B7280"/>
          <w:sz w:val="16"/>
          <w:szCs w:val="16"/>
          <w:lang w:val="en-US"/>
        </w:rPr>
        <w:t>Üst menüde ve açılır listede görünen kısa ad.</w:t>
      </w:r>
    </w:p>
    <w:p xmlns:wp14="http://schemas.microsoft.com/office/word/2010/wordml" w14:paraId="534216E7"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S/4HANA Dönüşümü</w:t>
      </w:r>
    </w:p>
    <w:p xmlns:wp14="http://schemas.microsoft.com/office/word/2010/wordml" w14:paraId="3A5264E4" wp14:textId="77777777">
      <w:pPr>
        <w:spacing w:before="0" w:after="90" w:line="300"/>
      </w:pPr>
      <w:r>
        <w:rPr>
          <w:b/>
          <w:bCs/>
          <w:color w:val="475569"/>
          <w:sz w:val="15"/>
          <w:szCs w:val="15"/>
        </w:rPr>
        <w:t xml:space="preserve">EN</w:t>
      </w:r>
      <w:r>
        <w:t xml:space="preserve"> </w:t>
      </w:r>
      <w:r>
        <w:rPr>
          <w:color w:val="111827"/>
          <w:sz w:val="21"/>
          <w:szCs w:val="21"/>
        </w:rPr>
        <w:t xml:space="preserve">S/4HANA Transformation</w:t>
      </w:r>
    </w:p>
    <w:p xmlns:wp14="http://schemas.microsoft.com/office/word/2010/wordml" w14:paraId="1643BB16" wp14:textId="77777777">
      <w:pPr>
        <w:spacing w:before="200" w:after="40"/>
      </w:pPr>
      <w:r>
        <w:rPr>
          <w:b/>
          <w:bCs/>
          <w:color w:val="6B7280"/>
          <w:sz w:val="16"/>
          <w:szCs w:val="16"/>
        </w:rPr>
        <w:t xml:space="preserve">MENÜ AÇIKLAMASI</w:t>
      </w:r>
    </w:p>
    <w:p xmlns:wp14="http://schemas.microsoft.com/office/word/2010/wordml" w14:paraId="6C090396"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Brownfield, greenfield ve seçici geçiş kararı ve uygulaması</w:t>
      </w:r>
    </w:p>
    <w:p xmlns:wp14="http://schemas.microsoft.com/office/word/2010/wordml" w14:paraId="550E948F" wp14:textId="77777777">
      <w:pPr>
        <w:spacing w:before="0" w:after="90" w:line="300"/>
      </w:pPr>
      <w:r>
        <w:rPr>
          <w:b/>
          <w:bCs/>
          <w:color w:val="475569"/>
          <w:sz w:val="15"/>
          <w:szCs w:val="15"/>
        </w:rPr>
        <w:t xml:space="preserve">EN</w:t>
      </w:r>
      <w:r>
        <w:t xml:space="preserve"> </w:t>
      </w:r>
      <w:r>
        <w:rPr>
          <w:color w:val="111827"/>
          <w:sz w:val="21"/>
          <w:szCs w:val="21"/>
        </w:rPr>
        <w:t xml:space="preserve">Choosing and executing brownfield, greenfield or selective transition</w:t>
      </w:r>
    </w:p>
    <w:p xmlns:wp14="http://schemas.microsoft.com/office/word/2010/wordml" w14:paraId="6383EC74" wp14:textId="77777777">
      <w:pPr>
        <w:spacing w:before="200" w:after="40"/>
      </w:pPr>
      <w:r>
        <w:rPr>
          <w:b/>
          <w:bCs/>
          <w:color w:val="6B7280"/>
          <w:sz w:val="16"/>
          <w:szCs w:val="16"/>
        </w:rPr>
        <w:t xml:space="preserve">ANA SAYFA KARTI AÇIKLAMASI</w:t>
      </w:r>
    </w:p>
    <w:p xmlns:wp14="http://schemas.microsoft.com/office/word/2010/wordml" w14:paraId="6DA53459" wp14:textId="77777777">
      <w:pPr>
        <w:spacing w:after="60"/>
      </w:pPr>
      <w:r w:rsidRPr="6A3CC854" w:rsidR="6A3CC854">
        <w:rPr>
          <w:i w:val="1"/>
          <w:iCs w:val="1"/>
          <w:color w:val="6B7280"/>
          <w:sz w:val="16"/>
          <w:szCs w:val="16"/>
          <w:lang w:val="en-US"/>
        </w:rPr>
        <w:t>Ana sayfadaki çözüm kartında görünen kısa açıklama.</w:t>
      </w:r>
    </w:p>
    <w:p xmlns:wp14="http://schemas.microsoft.com/office/word/2010/wordml" w14:paraId="1FC9482C"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Hangi geçiş yönteminin sizin için doğru olduğunu veriyle belirler, kararı gerekçesiyle birlikte belgeler ve dönüşümü uçtan uca yürütürüz.</w:t>
      </w:r>
    </w:p>
    <w:p xmlns:wp14="http://schemas.microsoft.com/office/word/2010/wordml" w14:paraId="0F0D5943"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We determine which conversion approach fits your landscape using evidence, document the reasoning, and then run the transformation end to end.</w:t>
      </w:r>
    </w:p>
    <w:p xmlns:wp14="http://schemas.microsoft.com/office/word/2010/wordml" w:rsidP="6A3CC854" w14:paraId="4D1EBCE1" wp14:textId="77777777">
      <w:pPr>
        <w:pStyle w:val="Heading1"/>
        <w:pBdr>
          <w:bottom w:val="single" w:color="D1D5DB" w:sz="6" w:space="6"/>
        </w:pBdr>
        <w:spacing w:before="400" w:after="100"/>
      </w:pPr>
      <w:r w:rsidRPr="6A3CC854" w:rsidR="6A3CC854">
        <w:rPr>
          <w:b w:val="1"/>
          <w:bCs w:val="1"/>
          <w:color w:val="111827"/>
          <w:sz w:val="30"/>
          <w:szCs w:val="30"/>
          <w:lang w:val="en-US"/>
        </w:rPr>
        <w:t>Sayfa başlığı ve arama motoru metinleri</w:t>
      </w:r>
    </w:p>
    <w:p xmlns:wp14="http://schemas.microsoft.com/office/word/2010/wordml" w14:paraId="1C0523E7" wp14:textId="77777777">
      <w:pPr>
        <w:spacing w:before="200" w:after="40"/>
      </w:pPr>
      <w:r>
        <w:rPr>
          <w:b/>
          <w:bCs/>
          <w:color w:val="6B7280"/>
          <w:sz w:val="16"/>
          <w:szCs w:val="16"/>
        </w:rPr>
        <w:t xml:space="preserve">BAŞLIK</w:t>
      </w:r>
    </w:p>
    <w:p xmlns:wp14="http://schemas.microsoft.com/office/word/2010/wordml" w14:paraId="3FF8B20C"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S/4HANA dönüşümü: önce doğru yöntem, sonra proje</w:t>
      </w:r>
    </w:p>
    <w:p xmlns:wp14="http://schemas.microsoft.com/office/word/2010/wordml" w14:paraId="77CA0009" wp14:textId="77777777">
      <w:pPr>
        <w:spacing w:before="0" w:after="90" w:line="300"/>
      </w:pPr>
      <w:r>
        <w:rPr>
          <w:b/>
          <w:bCs/>
          <w:color w:val="475569"/>
          <w:sz w:val="15"/>
          <w:szCs w:val="15"/>
        </w:rPr>
        <w:t xml:space="preserve">EN</w:t>
      </w:r>
      <w:r>
        <w:t xml:space="preserve"> </w:t>
      </w:r>
      <w:r>
        <w:rPr>
          <w:color w:val="111827"/>
          <w:sz w:val="21"/>
          <w:szCs w:val="21"/>
        </w:rPr>
        <w:t xml:space="preserve">S/4HANA transformation: the approach decision comes first</w:t>
      </w:r>
    </w:p>
    <w:p xmlns:wp14="http://schemas.microsoft.com/office/word/2010/wordml" w14:paraId="4121F1F0" wp14:textId="77777777">
      <w:pPr>
        <w:spacing w:before="200" w:after="40"/>
      </w:pPr>
      <w:r>
        <w:rPr>
          <w:b/>
          <w:bCs/>
          <w:color w:val="6B7280"/>
          <w:sz w:val="16"/>
          <w:szCs w:val="16"/>
        </w:rPr>
        <w:t xml:space="preserve">ARAMA SONUCU BAŞLIĞI</w:t>
      </w:r>
    </w:p>
    <w:p xmlns:wp14="http://schemas.microsoft.com/office/word/2010/wordml" w14:paraId="501E1418"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SAP S/4HANA Dönüşüm Danışmanlığı | CPeak Consultancy</w:t>
      </w:r>
    </w:p>
    <w:p xmlns:wp14="http://schemas.microsoft.com/office/word/2010/wordml" w14:paraId="7A285FBF"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SAP S/4HANA Transformation Consulting | CPeak Consultancy</w:t>
      </w:r>
    </w:p>
    <w:p xmlns:wp14="http://schemas.microsoft.com/office/word/2010/wordml" w14:paraId="5A3ABC0A" wp14:textId="77777777">
      <w:pPr>
        <w:spacing w:before="200" w:after="40"/>
      </w:pPr>
      <w:r>
        <w:rPr>
          <w:b/>
          <w:bCs/>
          <w:color w:val="6B7280"/>
          <w:sz w:val="16"/>
          <w:szCs w:val="16"/>
        </w:rPr>
        <w:t xml:space="preserve">ARAMA SONUCU AÇIKLAMASI</w:t>
      </w:r>
    </w:p>
    <w:p xmlns:wp14="http://schemas.microsoft.com/office/word/2010/wordml" w14:paraId="52600963"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ECC’den S/4HANA’ya geçişte brownfield, greenfield ve selective data transition karşılaştırması, hazırlık analizi, veri migrasyonu ve uçtan uca dönüşüm yönetimi.</w:t>
      </w:r>
    </w:p>
    <w:p xmlns:wp14="http://schemas.microsoft.com/office/word/2010/wordml" w14:paraId="3FD647E0"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Readiness assessment, brownfield vs greenfield vs selective data transition analysis, data migration and end-to-end delivery of SAP S/4HANA conversions.</w:t>
      </w:r>
    </w:p>
    <w:p xmlns:wp14="http://schemas.microsoft.com/office/word/2010/wordml" w14:paraId="4D0BE201" wp14:textId="77777777">
      <w:pPr>
        <w:spacing w:before="200" w:after="40"/>
      </w:pPr>
      <w:r>
        <w:rPr>
          <w:b/>
          <w:bCs/>
          <w:color w:val="6B7280"/>
          <w:sz w:val="16"/>
          <w:szCs w:val="16"/>
        </w:rPr>
        <w:t xml:space="preserve">HİZMET TÜRÜ (TEKNİK ETİKET)</w:t>
      </w:r>
    </w:p>
    <w:p xmlns:wp14="http://schemas.microsoft.com/office/word/2010/wordml" w14:paraId="5E396D19" wp14:textId="77777777">
      <w:pPr>
        <w:spacing w:after="60"/>
      </w:pPr>
      <w:r w:rsidRPr="6A3CC854" w:rsidR="6A3CC854">
        <w:rPr>
          <w:i w:val="1"/>
          <w:iCs w:val="1"/>
          <w:color w:val="6B7280"/>
          <w:sz w:val="16"/>
          <w:szCs w:val="16"/>
          <w:lang w:val="en-US"/>
        </w:rPr>
        <w:t>Arama motorlarına gönderilen teknik etiket. Sayfada görünmez.</w:t>
      </w:r>
    </w:p>
    <w:p xmlns:wp14="http://schemas.microsoft.com/office/word/2010/wordml" w14:paraId="03D6BD5D" wp14:textId="77777777">
      <w:pPr>
        <w:spacing w:before="0" w:after="90" w:line="300"/>
      </w:pPr>
      <w:r>
        <w:rPr>
          <w:b/>
          <w:bCs/>
          <w:color w:val="B45309"/>
          <w:sz w:val="15"/>
          <w:szCs w:val="15"/>
        </w:rPr>
        <w:t xml:space="preserve">TR</w:t>
      </w:r>
      <w:r>
        <w:t xml:space="preserve"> </w:t>
      </w:r>
      <w:r>
        <w:rPr>
          <w:color w:val="111827"/>
          <w:sz w:val="21"/>
          <w:szCs w:val="21"/>
        </w:rPr>
        <w:t xml:space="preserve">SAP S/4HANA migration consulting</w:t>
      </w:r>
    </w:p>
    <w:p xmlns:wp14="http://schemas.microsoft.com/office/word/2010/wordml" w14:paraId="752C11E1" wp14:textId="77777777">
      <w:pPr>
        <w:spacing w:before="0" w:after="90" w:line="300"/>
      </w:pPr>
      <w:r>
        <w:rPr>
          <w:b/>
          <w:bCs/>
          <w:color w:val="475569"/>
          <w:sz w:val="15"/>
          <w:szCs w:val="15"/>
        </w:rPr>
        <w:t xml:space="preserve">EN</w:t>
      </w:r>
      <w:r>
        <w:t xml:space="preserve"> </w:t>
      </w:r>
      <w:r>
        <w:rPr>
          <w:color w:val="111827"/>
          <w:sz w:val="21"/>
          <w:szCs w:val="21"/>
        </w:rPr>
        <w:t xml:space="preserve">SAP S/4HANA migration consulting</w:t>
      </w:r>
    </w:p>
    <w:p xmlns:wp14="http://schemas.microsoft.com/office/word/2010/wordml" w:rsidP="6A3CC854" w14:paraId="4307E842" wp14:textId="77777777">
      <w:pPr>
        <w:pStyle w:val="Heading1"/>
        <w:pBdr>
          <w:bottom w:val="single" w:color="D1D5DB" w:sz="6" w:space="6"/>
        </w:pBdr>
        <w:spacing w:before="400" w:after="100"/>
      </w:pPr>
      <w:r w:rsidRPr="6A3CC854" w:rsidR="6A3CC854">
        <w:rPr>
          <w:b w:val="1"/>
          <w:bCs w:val="1"/>
          <w:color w:val="111827"/>
          <w:sz w:val="30"/>
          <w:szCs w:val="30"/>
          <w:lang w:val="en-US"/>
        </w:rPr>
        <w:t>Özet</w:t>
      </w:r>
    </w:p>
    <w:p xmlns:wp14="http://schemas.microsoft.com/office/word/2010/wordml" w14:paraId="2F39E9B5" wp14:textId="77777777">
      <w:pPr>
        <w:spacing w:before="200" w:after="40"/>
      </w:pPr>
      <w:r>
        <w:rPr>
          <w:b/>
          <w:bCs/>
          <w:color w:val="6B7280"/>
          <w:sz w:val="16"/>
          <w:szCs w:val="16"/>
        </w:rPr>
        <w:t xml:space="preserve">ÖZET PARAGRAFI</w:t>
      </w:r>
    </w:p>
    <w:p xmlns:wp14="http://schemas.microsoft.com/office/word/2010/wordml" w14:paraId="637CC75A"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S/4HANA projelerinin çoğu teknik nedenlerle değil, yanlış geçiş yöntemiyle başladıkları için zorlanır. Yöntem kararı, projenin süresini, maliyetini ve taşıyacağınız teknik borcu baştan belirler — bu yüzden işe oradan başlarız.</w:t>
      </w:r>
    </w:p>
    <w:p xmlns:wp14="http://schemas.microsoft.com/office/word/2010/wordml" w14:paraId="7BE7EEBE"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Most S/4HANA programmes struggle for one reason: they began with the wrong conversion approach. That single decision sets the duration, the cost and the technical debt you carry for the next decade, so it is where we start.</w:t>
      </w:r>
    </w:p>
    <w:p xmlns:wp14="http://schemas.microsoft.com/office/word/2010/wordml" w:rsidP="6A3CC854" w14:paraId="200738CC" wp14:textId="77777777">
      <w:pPr>
        <w:pStyle w:val="Heading1"/>
        <w:pBdr>
          <w:bottom w:val="single" w:color="D1D5DB" w:sz="6" w:space="6"/>
        </w:pBdr>
        <w:spacing w:before="400" w:after="100"/>
      </w:pPr>
      <w:r w:rsidRPr="6A3CC854" w:rsidR="6A3CC854">
        <w:rPr>
          <w:b w:val="1"/>
          <w:bCs w:val="1"/>
          <w:color w:val="111827"/>
          <w:sz w:val="30"/>
          <w:szCs w:val="30"/>
          <w:lang w:val="en-US"/>
        </w:rPr>
        <w:t>Kimler için</w:t>
      </w:r>
    </w:p>
    <w:p xmlns:wp14="http://schemas.microsoft.com/office/word/2010/wordml" w14:paraId="3E9AE2FB" wp14:textId="77777777">
      <w:pPr>
        <w:spacing w:before="120" w:after="40" w:line="300" w:lineRule="auto"/>
        <w:ind w:left="400" w:hanging="400"/>
      </w:pPr>
      <w:r w:rsidRPr="6A3CC854" w:rsidR="6A3CC854">
        <w:rPr>
          <w:b w:val="1"/>
          <w:bCs w:val="1"/>
          <w:color w:val="6B7280"/>
          <w:sz w:val="19"/>
          <w:szCs w:val="19"/>
          <w:lang w:val="en-US"/>
        </w:rPr>
        <w:t>1.</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ECC üzerinde çalışan ve bakım takvimi nedeniyle geçiş planı yapması gereken şirketler</w:t>
      </w:r>
    </w:p>
    <w:p xmlns:wp14="http://schemas.microsoft.com/office/word/2010/wordml" w14:paraId="52E1C662"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Organisations on ECC that need a defensible plan before maintenance deadlines force one</w:t>
      </w:r>
    </w:p>
    <w:p xmlns:wp14="http://schemas.microsoft.com/office/word/2010/wordml" w14:paraId="313E5D45" wp14:textId="77777777">
      <w:pPr>
        <w:spacing w:before="120" w:after="40" w:line="300" w:lineRule="auto"/>
        <w:ind w:left="400" w:hanging="400"/>
      </w:pPr>
      <w:r w:rsidRPr="6A3CC854" w:rsidR="6A3CC854">
        <w:rPr>
          <w:b w:val="1"/>
          <w:bCs w:val="1"/>
          <w:color w:val="6B7280"/>
          <w:sz w:val="19"/>
          <w:szCs w:val="19"/>
          <w:lang w:val="en-US"/>
        </w:rPr>
        <w:t>2.</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Birden çok şirket kodu ve ülkeyi aynı programda taşımak zorunda olan gruplar</w:t>
      </w:r>
    </w:p>
    <w:p xmlns:wp14="http://schemas.microsoft.com/office/word/2010/wordml" w14:paraId="1326611D"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Groups moving multiple company codes and countries within a single programme</w:t>
      </w:r>
    </w:p>
    <w:p xmlns:wp14="http://schemas.microsoft.com/office/word/2010/wordml" w14:paraId="33A8664D" wp14:textId="77777777">
      <w:pPr>
        <w:spacing w:before="120" w:after="40" w:line="300" w:lineRule="auto"/>
        <w:ind w:left="400" w:hanging="400"/>
      </w:pPr>
      <w:r w:rsidRPr="6A3CC854" w:rsidR="6A3CC854">
        <w:rPr>
          <w:b w:val="1"/>
          <w:bCs w:val="1"/>
          <w:color w:val="6B7280"/>
          <w:sz w:val="19"/>
          <w:szCs w:val="19"/>
          <w:lang w:val="en-US"/>
        </w:rPr>
        <w:t>3.</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Yıllar içinde ağır özelleştirme biriktirmiş, bunun ne kadarının hâlâ gerekli olduğunu bilmeyen BT organizasyonları</w:t>
      </w:r>
    </w:p>
    <w:p xmlns:wp14="http://schemas.microsoft.com/office/word/2010/wordml" w14:paraId="04292014"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IT organisations carrying years of accumulated custom code with no reliable view of what is still used</w:t>
      </w:r>
    </w:p>
    <w:p xmlns:wp14="http://schemas.microsoft.com/office/word/2010/wordml" w14:paraId="4A2829E8" wp14:textId="77777777">
      <w:pPr>
        <w:spacing w:before="120" w:after="40" w:line="300" w:lineRule="auto"/>
        <w:ind w:left="400" w:hanging="400"/>
      </w:pPr>
      <w:r w:rsidRPr="6A3CC854" w:rsidR="6A3CC854">
        <w:rPr>
          <w:b w:val="1"/>
          <w:bCs w:val="1"/>
          <w:color w:val="6B7280"/>
          <w:sz w:val="19"/>
          <w:szCs w:val="19"/>
          <w:lang w:val="en-US"/>
        </w:rPr>
        <w:t>4.</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Daha önce bir dönüşüm denemesi durmuş ya da beklenen faydayı vermemiş şirketler</w:t>
      </w:r>
    </w:p>
    <w:p xmlns:wp14="http://schemas.microsoft.com/office/word/2010/wordml" w14:paraId="1073BABF"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Companies whose earlier conversion attempt stalled or failed to deliver the expected benefit</w:t>
      </w:r>
    </w:p>
    <w:p xmlns:wp14="http://schemas.microsoft.com/office/word/2010/wordml" w:rsidP="6A3CC854" w14:paraId="68FE9DAD" wp14:textId="77777777">
      <w:pPr>
        <w:pStyle w:val="Heading1"/>
        <w:pBdr>
          <w:bottom w:val="single" w:color="D1D5DB" w:sz="6" w:space="6"/>
        </w:pBdr>
        <w:spacing w:before="400" w:after="100"/>
      </w:pPr>
      <w:r w:rsidRPr="6A3CC854" w:rsidR="6A3CC854">
        <w:rPr>
          <w:b w:val="1"/>
          <w:bCs w:val="1"/>
          <w:color w:val="111827"/>
          <w:sz w:val="30"/>
          <w:szCs w:val="30"/>
          <w:lang w:val="en-US"/>
        </w:rPr>
        <w:t>Karşılaşılan zorluklar</w:t>
      </w:r>
    </w:p>
    <w:p xmlns:wp14="http://schemas.microsoft.com/office/word/2010/wordml" w14:paraId="4BA862A5" wp14:textId="77777777">
      <w:pPr>
        <w:spacing w:before="120" w:after="40" w:line="300" w:lineRule="auto"/>
        <w:ind w:left="400" w:hanging="400"/>
      </w:pPr>
      <w:r w:rsidRPr="6A3CC854" w:rsidR="6A3CC854">
        <w:rPr>
          <w:b w:val="1"/>
          <w:bCs w:val="1"/>
          <w:color w:val="6B7280"/>
          <w:sz w:val="19"/>
          <w:szCs w:val="19"/>
          <w:lang w:val="en-US"/>
        </w:rPr>
        <w:t>1.</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Brownfield mi greenfield mi sorusuna, sorulan her danışmandan farklı ve gerekçesiz bir cevap geliyor.</w:t>
      </w:r>
    </w:p>
    <w:p xmlns:wp14="http://schemas.microsoft.com/office/word/2010/wordml" w14:paraId="67C82E2A"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Every advisor gives a different answer to brownfield versus greenfield, and none of them show their reasoning.</w:t>
      </w:r>
    </w:p>
    <w:p xmlns:wp14="http://schemas.microsoft.com/office/word/2010/wordml" w14:paraId="2AEC0687" wp14:textId="77777777">
      <w:pPr>
        <w:spacing w:before="120" w:after="40" w:line="300" w:lineRule="auto"/>
        <w:ind w:left="400" w:hanging="400"/>
      </w:pPr>
      <w:r w:rsidRPr="6A3CC854" w:rsidR="6A3CC854">
        <w:rPr>
          <w:b w:val="1"/>
          <w:bCs w:val="1"/>
          <w:color w:val="6B7280"/>
          <w:sz w:val="19"/>
          <w:szCs w:val="19"/>
          <w:lang w:val="en-US"/>
        </w:rPr>
        <w:t>2.</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Mevcut sistemdeki özelleştirmelerin ne kadarının kullanıldığı bilinmiyor; hepsini taşımak da atmak da riskli görünüyor.</w:t>
      </w:r>
    </w:p>
    <w:p xmlns:wp14="http://schemas.microsoft.com/office/word/2010/wordml" w14:paraId="503A5BD9"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Nobody knows how much of the custom code is genuinely in use, so both keeping it and dropping it look risky.</w:t>
      </w:r>
    </w:p>
    <w:p xmlns:wp14="http://schemas.microsoft.com/office/word/2010/wordml" w14:paraId="16C73EB5" wp14:textId="77777777">
      <w:pPr>
        <w:spacing w:before="120" w:after="40" w:line="300" w:lineRule="auto"/>
        <w:ind w:left="400" w:hanging="400"/>
      </w:pPr>
      <w:r w:rsidRPr="6A3CC854" w:rsidR="6A3CC854">
        <w:rPr>
          <w:b w:val="1"/>
          <w:bCs w:val="1"/>
          <w:color w:val="6B7280"/>
          <w:sz w:val="19"/>
          <w:szCs w:val="19"/>
          <w:lang w:val="en-US"/>
        </w:rPr>
        <w:t>3.</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Ana veri kalitesi belirsiz; migrasyonda çıkacak sorunların boyutu tahmin edilemiyor.</w:t>
      </w:r>
    </w:p>
    <w:p xmlns:wp14="http://schemas.microsoft.com/office/word/2010/wordml" w14:paraId="461E610C"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Master data quality is unknown, making migration effort impossible to size.</w:t>
      </w:r>
    </w:p>
    <w:p xmlns:wp14="http://schemas.microsoft.com/office/word/2010/wordml" w14:paraId="68002F82" wp14:textId="77777777">
      <w:pPr>
        <w:spacing w:before="120" w:after="40" w:line="300" w:lineRule="auto"/>
        <w:ind w:left="400" w:hanging="400"/>
      </w:pPr>
      <w:r w:rsidRPr="6A3CC854" w:rsidR="6A3CC854">
        <w:rPr>
          <w:b w:val="1"/>
          <w:bCs w:val="1"/>
          <w:color w:val="6B7280"/>
          <w:sz w:val="19"/>
          <w:szCs w:val="19"/>
          <w:lang w:val="en-US"/>
        </w:rPr>
        <w:t>4.</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Proje süresi ve iş biriminin ayıracağı efor gerçekçi biçimde tahmin edilemediği için bütçe onayı alınamıyor.</w:t>
      </w:r>
    </w:p>
    <w:p xmlns:wp14="http://schemas.microsoft.com/office/word/2010/wordml" w14:paraId="5AED5C8C"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Business-side effort cannot be estimated credibly, so the budget case stalls.</w:t>
      </w:r>
    </w:p>
    <w:p xmlns:wp14="http://schemas.microsoft.com/office/word/2010/wordml" w14:paraId="60627A56" wp14:textId="77777777">
      <w:pPr>
        <w:spacing w:before="120" w:after="40" w:line="300" w:lineRule="auto"/>
        <w:ind w:left="400" w:hanging="400"/>
      </w:pPr>
      <w:r w:rsidRPr="6A3CC854" w:rsidR="6A3CC854">
        <w:rPr>
          <w:b w:val="1"/>
          <w:bCs w:val="1"/>
          <w:color w:val="6B7280"/>
          <w:sz w:val="19"/>
          <w:szCs w:val="19"/>
          <w:lang w:val="en-US"/>
        </w:rPr>
        <w:t>5.</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Geçişin iş tarafına ne kazandıracağı, teknik bir zorunluluk anlatısının ötesine geçmiyor.</w:t>
      </w:r>
    </w:p>
    <w:p xmlns:wp14="http://schemas.microsoft.com/office/word/2010/wordml" w14:paraId="7845FE6F" wp14:textId="77777777">
      <w:pPr>
        <w:spacing w:before="0" w:after="60" w:line="300"/>
        <w:ind w:left="400"/>
      </w:pPr>
      <w:r>
        <w:rPr>
          <w:b/>
          <w:bCs/>
          <w:color w:val="475569"/>
          <w:sz w:val="15"/>
          <w:szCs w:val="15"/>
        </w:rPr>
        <w:t xml:space="preserve">EN</w:t>
      </w:r>
      <w:r>
        <w:t xml:space="preserve"> </w:t>
      </w:r>
      <w:r>
        <w:rPr>
          <w:color w:val="111827"/>
          <w:sz w:val="21"/>
          <w:szCs w:val="21"/>
        </w:rPr>
        <w:t xml:space="preserve">The business case never gets beyond "maintenance is ending", which is a deadline rather than a benefit.</w:t>
      </w:r>
    </w:p>
    <w:p xmlns:wp14="http://schemas.microsoft.com/office/word/2010/wordml" w:rsidP="6A3CC854" w14:paraId="253BF0FA" wp14:textId="77777777">
      <w:pPr>
        <w:pStyle w:val="Heading1"/>
        <w:pBdr>
          <w:bottom w:val="single" w:color="D1D5DB" w:sz="6" w:space="6"/>
        </w:pBdr>
        <w:spacing w:before="400" w:after="100"/>
      </w:pPr>
      <w:r w:rsidRPr="6A3CC854" w:rsidR="6A3CC854">
        <w:rPr>
          <w:b w:val="1"/>
          <w:bCs w:val="1"/>
          <w:color w:val="111827"/>
          <w:sz w:val="30"/>
          <w:szCs w:val="30"/>
          <w:lang w:val="en-US"/>
        </w:rPr>
        <w:t>Ne yapıyoruz</w:t>
      </w:r>
    </w:p>
    <w:p xmlns:wp14="http://schemas.microsoft.com/office/word/2010/wordml" w14:paraId="3B8FB5FF" wp14:textId="77777777">
      <w:pPr>
        <w:pStyle w:val="Heading2"/>
        <w:spacing w:before="280" w:after="100"/>
      </w:pPr>
      <w:r w:rsidRPr="6A3CC854" w:rsidR="6A3CC854">
        <w:rPr>
          <w:b w:val="1"/>
          <w:bCs w:val="1"/>
          <w:color w:val="111827"/>
          <w:sz w:val="25"/>
          <w:szCs w:val="25"/>
          <w:lang w:val="en-US"/>
        </w:rPr>
        <w:t>1. Hazırlık analizi ve yöntem kararı</w:t>
      </w:r>
    </w:p>
    <w:p xmlns:wp14="http://schemas.microsoft.com/office/word/2010/wordml" w14:paraId="47F2D361" wp14:textId="77777777">
      <w:pPr>
        <w:spacing w:before="200" w:after="40"/>
      </w:pPr>
      <w:r>
        <w:rPr>
          <w:b/>
          <w:bCs/>
          <w:color w:val="6B7280"/>
          <w:sz w:val="16"/>
          <w:szCs w:val="16"/>
        </w:rPr>
        <w:t xml:space="preserve">ALT BAŞLIK</w:t>
      </w:r>
    </w:p>
    <w:p xmlns:wp14="http://schemas.microsoft.com/office/word/2010/wordml" w14:paraId="175E8547"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Hazırlık analizi ve yöntem kararı</w:t>
      </w:r>
    </w:p>
    <w:p xmlns:wp14="http://schemas.microsoft.com/office/word/2010/wordml" w14:paraId="67F6E1AA" wp14:textId="77777777">
      <w:pPr>
        <w:spacing w:before="0" w:after="90" w:line="300"/>
      </w:pPr>
      <w:r>
        <w:rPr>
          <w:b/>
          <w:bCs/>
          <w:color w:val="475569"/>
          <w:sz w:val="15"/>
          <w:szCs w:val="15"/>
        </w:rPr>
        <w:t xml:space="preserve">EN</w:t>
      </w:r>
      <w:r>
        <w:t xml:space="preserve"> </w:t>
      </w:r>
      <w:r>
        <w:rPr>
          <w:color w:val="111827"/>
          <w:sz w:val="21"/>
          <w:szCs w:val="21"/>
        </w:rPr>
        <w:t xml:space="preserve">Readiness assessment and approach decision</w:t>
      </w:r>
    </w:p>
    <w:p xmlns:wp14="http://schemas.microsoft.com/office/word/2010/wordml" w14:paraId="2E856627" wp14:textId="77777777">
      <w:pPr>
        <w:pStyle w:val="Heading3"/>
        <w:spacing w:before="280" w:after="100"/>
      </w:pPr>
      <w:r>
        <w:rPr>
          <w:b/>
          <w:bCs/>
          <w:color w:val="111827"/>
          <w:sz w:val="22"/>
          <w:szCs w:val="22"/>
        </w:rPr>
        <w:t xml:space="preserve">Metin</w:t>
      </w:r>
    </w:p>
    <w:p xmlns:wp14="http://schemas.microsoft.com/office/word/2010/wordml" w14:paraId="2A9AA3FD" wp14:textId="77777777">
      <w:pPr>
        <w:spacing w:before="120" w:after="40" w:line="300" w:lineRule="auto"/>
        <w:ind w:left="400" w:hanging="400"/>
      </w:pPr>
      <w:r w:rsidRPr="6A3CC854" w:rsidR="6A3CC854">
        <w:rPr>
          <w:b w:val="1"/>
          <w:bCs w:val="1"/>
          <w:color w:val="6B7280"/>
          <w:sz w:val="19"/>
          <w:szCs w:val="19"/>
          <w:lang w:val="en-US"/>
        </w:rPr>
        <w:t>1.</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Mevcut sistemi teknik ve işlevsel olarak tararız: özelleştirme envanteri ve gerçek kullanım oranları, uyumsuzluk kontrolleri (simplification item), ana veri kalitesi, arayüz envanteri ve veri hacmi. Bu tarama, geçiş yöntemi tartışmasını görüş meselesi olmaktan çıkarır.</w:t>
      </w:r>
    </w:p>
    <w:p xmlns:wp14="http://schemas.microsoft.com/office/word/2010/wordml" w14:paraId="7E4CD928"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We scan the existing landscape technically and functionally: custom code inventory with actual usage statistics, simplification item checks, master data quality, interface inventory and data volumes. This turns the conversion approach debate from a matter of opinion into a matter of evidence.</w:t>
      </w:r>
    </w:p>
    <w:p xmlns:wp14="http://schemas.microsoft.com/office/word/2010/wordml" w14:paraId="24D47840" wp14:textId="77777777">
      <w:pPr>
        <w:spacing w:before="120" w:after="40" w:line="300" w:lineRule="auto"/>
        <w:ind w:left="400" w:hanging="400"/>
      </w:pPr>
      <w:r w:rsidRPr="6A3CC854" w:rsidR="6A3CC854">
        <w:rPr>
          <w:b w:val="1"/>
          <w:bCs w:val="1"/>
          <w:color w:val="6B7280"/>
          <w:sz w:val="19"/>
          <w:szCs w:val="19"/>
          <w:lang w:val="en-US"/>
        </w:rPr>
        <w:t>2.</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Üç yöntemin — sistem dönüşümü (brownfield), yeni kurulum (greenfield) ve seçici veri geçişi (selective data transition) — sizin özel durumunuzdaki maliyetini, süresini ve riskini karşılaştırmalı olarak koyarız. Kararı biz vermeyiz; kararı verecek kişinin elinde savunabileceği bir gerekçe olmasını sağlarız.</w:t>
      </w:r>
    </w:p>
    <w:p xmlns:wp14="http://schemas.microsoft.com/office/word/2010/wordml" w14:paraId="25EB2752"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We then compare all three routes — system conversion, new implementation and selective data transition — against your specific situation, with cost, duration and risk side by side. We do not make the decision for you; we make sure whoever does can defend it to a board.</w:t>
      </w:r>
    </w:p>
    <w:p xmlns:wp14="http://schemas.microsoft.com/office/word/2010/wordml" w14:paraId="6F9B7A8D" wp14:textId="77777777">
      <w:pPr>
        <w:spacing w:before="120" w:after="40" w:line="300" w:lineRule="auto"/>
        <w:ind w:left="400" w:hanging="400"/>
      </w:pPr>
      <w:r w:rsidRPr="6A3CC854" w:rsidR="6A3CC854">
        <w:rPr>
          <w:b w:val="1"/>
          <w:bCs w:val="1"/>
          <w:color w:val="6B7280"/>
          <w:sz w:val="19"/>
          <w:szCs w:val="19"/>
          <w:lang w:val="en-US"/>
        </w:rPr>
        <w:t>3.</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Çoğu şirkette doğru cevap saf brownfield ya da saf greenfield değildir. Tarihsel veriyi taşırken süreçleri yenilemek isteyen gruplarda seçici geçiş, ilk bakışta karmaşık görünse de toplamda daha kısa ve daha ucuz çıkabilir.</w:t>
      </w:r>
    </w:p>
    <w:p xmlns:wp14="http://schemas.microsoft.com/office/word/2010/wordml" w14:paraId="5BDA7247"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For most groups the correct answer is neither pure brownfield nor pure greenfield. Where historical data must be retained but processes need genuine redesign, selective transition often turns out shorter and cheaper overall despite looking more complex at first.</w:t>
      </w:r>
    </w:p>
    <w:p xmlns:wp14="http://schemas.microsoft.com/office/word/2010/wordml" w14:paraId="13F15BD8" wp14:textId="77777777">
      <w:pPr>
        <w:pStyle w:val="Heading2"/>
        <w:spacing w:before="280" w:after="100"/>
      </w:pPr>
      <w:r w:rsidRPr="6A3CC854" w:rsidR="6A3CC854">
        <w:rPr>
          <w:b w:val="1"/>
          <w:bCs w:val="1"/>
          <w:color w:val="111827"/>
          <w:sz w:val="25"/>
          <w:szCs w:val="25"/>
          <w:lang w:val="en-US"/>
        </w:rPr>
        <w:t>2. Özelleştirme borcunun temizlenmesi</w:t>
      </w:r>
    </w:p>
    <w:p xmlns:wp14="http://schemas.microsoft.com/office/word/2010/wordml" w14:paraId="4F8B0BF8" wp14:textId="77777777">
      <w:pPr>
        <w:spacing w:before="200" w:after="40"/>
      </w:pPr>
      <w:r>
        <w:rPr>
          <w:b/>
          <w:bCs/>
          <w:color w:val="6B7280"/>
          <w:sz w:val="16"/>
          <w:szCs w:val="16"/>
        </w:rPr>
        <w:t xml:space="preserve">ALT BAŞLIK</w:t>
      </w:r>
    </w:p>
    <w:p xmlns:wp14="http://schemas.microsoft.com/office/word/2010/wordml" w14:paraId="3C671AF5"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Özelleştirme borcunun temizlenmesi</w:t>
      </w:r>
    </w:p>
    <w:p xmlns:wp14="http://schemas.microsoft.com/office/word/2010/wordml" w14:paraId="7A5B6626"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Clearing the customisation debt</w:t>
      </w:r>
    </w:p>
    <w:p xmlns:wp14="http://schemas.microsoft.com/office/word/2010/wordml" w14:paraId="63F9D30E" wp14:textId="77777777">
      <w:pPr>
        <w:pStyle w:val="Heading3"/>
        <w:spacing w:before="280" w:after="100"/>
      </w:pPr>
      <w:r>
        <w:rPr>
          <w:b/>
          <w:bCs/>
          <w:color w:val="111827"/>
          <w:sz w:val="22"/>
          <w:szCs w:val="22"/>
        </w:rPr>
        <w:t xml:space="preserve">Metin</w:t>
      </w:r>
    </w:p>
    <w:p xmlns:wp14="http://schemas.microsoft.com/office/word/2010/wordml" w14:paraId="6E868B96" wp14:textId="77777777">
      <w:pPr>
        <w:spacing w:before="120" w:after="40" w:line="300" w:lineRule="auto"/>
        <w:ind w:left="400" w:hanging="400"/>
      </w:pPr>
      <w:r w:rsidRPr="6A3CC854" w:rsidR="6A3CC854">
        <w:rPr>
          <w:b w:val="1"/>
          <w:bCs w:val="1"/>
          <w:color w:val="6B7280"/>
          <w:sz w:val="19"/>
          <w:szCs w:val="19"/>
          <w:lang w:val="en-US"/>
        </w:rPr>
        <w:t>1.</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Yıllar içinde biriken Z geliştirmelerinin tipik olarak önemli bir bölümü artık kullanılmamaktadır. Kullanım verisiyle çalışarak neyin gerçekten çalıştığını, neyin standart işlevsellikle karşılanabileceğini ve neyin yeniden yazılması gerektiğini ayırırız.</w:t>
      </w:r>
    </w:p>
    <w:p xmlns:wp14="http://schemas.microsoft.com/office/word/2010/wordml" w14:paraId="7C06C75C" wp14:textId="77777777">
      <w:pPr>
        <w:spacing w:before="0" w:after="60" w:line="300"/>
        <w:ind w:left="400"/>
      </w:pPr>
      <w:r>
        <w:rPr>
          <w:b/>
          <w:bCs/>
          <w:color w:val="475569"/>
          <w:sz w:val="15"/>
          <w:szCs w:val="15"/>
        </w:rPr>
        <w:t xml:space="preserve">EN</w:t>
      </w:r>
      <w:r>
        <w:t xml:space="preserve"> </w:t>
      </w:r>
      <w:r>
        <w:rPr>
          <w:color w:val="111827"/>
          <w:sz w:val="21"/>
          <w:szCs w:val="21"/>
        </w:rPr>
        <w:t xml:space="preserve">A significant share of accumulated custom development is typically no longer executed at all. Working from usage data, we separate what genuinely runs, what standard functionality now covers, and what must be rewritten against the new data model.</w:t>
      </w:r>
    </w:p>
    <w:p xmlns:wp14="http://schemas.microsoft.com/office/word/2010/wordml" w14:paraId="23E4302D" wp14:textId="77777777">
      <w:pPr>
        <w:spacing w:before="120" w:after="40" w:line="300" w:lineRule="auto"/>
        <w:ind w:left="400" w:hanging="400"/>
      </w:pPr>
      <w:r w:rsidRPr="6A3CC854" w:rsidR="6A3CC854">
        <w:rPr>
          <w:b w:val="1"/>
          <w:bCs w:val="1"/>
          <w:color w:val="6B7280"/>
          <w:sz w:val="19"/>
          <w:szCs w:val="19"/>
          <w:lang w:val="en-US"/>
        </w:rPr>
        <w:t>2.</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Bu, dönüşümün en çok tasarruf sağlayan adımıdır: taşınmayan her geliştirme, test edilmeyecek, dokümante edilmeyecek ve on yıl daha bakımı yapılmayacak demektir. Ancak kullanılan bir geliştirmenin yanlışlıkla listeden düşmesi de en pahalı hatalardan biridir; bu yüzden eleme kararlarını iş birimiyle birlikte imzalarız.</w:t>
      </w:r>
    </w:p>
    <w:p xmlns:wp14="http://schemas.microsoft.com/office/word/2010/wordml" w14:paraId="6C26A4A5"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This is the single largest source of saving in a conversion: every object not carried forward is one that will not be tested, documented or maintained for another decade. It is also where the most expensive mistakes happen, so retirement decisions are signed off with the business rather than made in the IT department alone.</w:t>
      </w:r>
    </w:p>
    <w:p xmlns:wp14="http://schemas.microsoft.com/office/word/2010/wordml" w14:paraId="6707756D" wp14:textId="77777777">
      <w:pPr>
        <w:pStyle w:val="Heading2"/>
        <w:spacing w:before="280" w:after="100"/>
      </w:pPr>
      <w:r w:rsidRPr="6A3CC854" w:rsidR="6A3CC854">
        <w:rPr>
          <w:b w:val="1"/>
          <w:bCs w:val="1"/>
          <w:color w:val="111827"/>
          <w:sz w:val="25"/>
          <w:szCs w:val="25"/>
          <w:lang w:val="en-US"/>
        </w:rPr>
        <w:t>3. Finans tarafının dönüşümü</w:t>
      </w:r>
    </w:p>
    <w:p xmlns:wp14="http://schemas.microsoft.com/office/word/2010/wordml" w14:paraId="3F3B93CE" wp14:textId="77777777">
      <w:pPr>
        <w:spacing w:before="200" w:after="40"/>
      </w:pPr>
      <w:r>
        <w:rPr>
          <w:b/>
          <w:bCs/>
          <w:color w:val="6B7280"/>
          <w:sz w:val="16"/>
          <w:szCs w:val="16"/>
        </w:rPr>
        <w:t xml:space="preserve">ALT BAŞLIK</w:t>
      </w:r>
    </w:p>
    <w:p xmlns:wp14="http://schemas.microsoft.com/office/word/2010/wordml" w14:paraId="4B4DFEF9"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Finans tarafının dönüşümü</w:t>
      </w:r>
    </w:p>
    <w:p xmlns:wp14="http://schemas.microsoft.com/office/word/2010/wordml" w14:paraId="35F8695A" wp14:textId="77777777">
      <w:pPr>
        <w:spacing w:before="0" w:after="90" w:line="300"/>
      </w:pPr>
      <w:r>
        <w:rPr>
          <w:b/>
          <w:bCs/>
          <w:color w:val="475569"/>
          <w:sz w:val="15"/>
          <w:szCs w:val="15"/>
        </w:rPr>
        <w:t xml:space="preserve">EN</w:t>
      </w:r>
      <w:r>
        <w:t xml:space="preserve"> </w:t>
      </w:r>
      <w:r>
        <w:rPr>
          <w:color w:val="111827"/>
          <w:sz w:val="21"/>
          <w:szCs w:val="21"/>
        </w:rPr>
        <w:t xml:space="preserve">The finance side of the conversion</w:t>
      </w:r>
    </w:p>
    <w:p xmlns:wp14="http://schemas.microsoft.com/office/word/2010/wordml" w14:paraId="3C8E9793" wp14:textId="77777777">
      <w:pPr>
        <w:pStyle w:val="Heading3"/>
        <w:spacing w:before="280" w:after="100"/>
      </w:pPr>
      <w:r>
        <w:rPr>
          <w:b/>
          <w:bCs/>
          <w:color w:val="111827"/>
          <w:sz w:val="22"/>
          <w:szCs w:val="22"/>
        </w:rPr>
        <w:t xml:space="preserve">Metin</w:t>
      </w:r>
    </w:p>
    <w:p xmlns:wp14="http://schemas.microsoft.com/office/word/2010/wordml" w14:paraId="60B31876" wp14:textId="77777777">
      <w:pPr>
        <w:spacing w:before="120" w:after="40" w:line="300" w:lineRule="auto"/>
        <w:ind w:left="400" w:hanging="400"/>
      </w:pPr>
      <w:r w:rsidRPr="6A3CC854" w:rsidR="6A3CC854">
        <w:rPr>
          <w:b w:val="1"/>
          <w:bCs w:val="1"/>
          <w:color w:val="6B7280"/>
          <w:sz w:val="19"/>
          <w:szCs w:val="19"/>
          <w:lang w:val="en-US"/>
        </w:rPr>
        <w:t>1.</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Finans, S/4HANA geçişinde en çok değişen alandır. Universal Journal’a geçiş, yeni genel muhasebe (New GL) yapılandırması, iş ortağı (business partner) dönüşümü, malzeme defteri (material ledger) zorunluluğu ve kredi yönetiminin yeni yapısı — bunların her biri kendi başına bir çalışma kalemidir.</w:t>
      </w:r>
    </w:p>
    <w:p xmlns:wp14="http://schemas.microsoft.com/office/word/2010/wordml" w14:paraId="34A00697"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Finance changes more than any other area in an S/4HANA conversion. The Universal Journal, business partner conversion, mandatory material ledger, the new credit management architecture and parallel ledger handling are each a workstream in their own right.</w:t>
      </w:r>
    </w:p>
    <w:p xmlns:wp14="http://schemas.microsoft.com/office/word/2010/wordml" w14:paraId="36292D22" wp14:textId="77777777">
      <w:pPr>
        <w:spacing w:before="120" w:after="40" w:line="300" w:lineRule="auto"/>
        <w:ind w:left="400" w:hanging="400"/>
      </w:pPr>
      <w:r w:rsidRPr="6A3CC854" w:rsidR="6A3CC854">
        <w:rPr>
          <w:b w:val="1"/>
          <w:bCs w:val="1"/>
          <w:color w:val="6B7280"/>
          <w:sz w:val="19"/>
          <w:szCs w:val="19"/>
          <w:lang w:val="en-US"/>
        </w:rPr>
        <w:t>2.</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Bu alandaki derinliğimiz, projenin en kritik bölümünü dışarıdan bir uzmana devretmek zorunda kalmadan yürütmemizi sağlar. Finans ekibinin kapanışa devam ederken dönüşüme de vakit ayırması gerektiği için, iş yükünü kapanış takvimiyle çakışmayacak biçimde planlarız.</w:t>
      </w:r>
    </w:p>
    <w:p xmlns:wp14="http://schemas.microsoft.com/office/word/2010/wordml" w14:paraId="4B8DA7A6"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Our depth here means the most sensitive part of the programme does not get subcontracted to a specialist who arrives late and leaves early. Because the finance team has to keep closing the books while the project runs, we plan their workload explicitly around the close calendar rather than on top of it.</w:t>
      </w:r>
    </w:p>
    <w:p xmlns:wp14="http://schemas.microsoft.com/office/word/2010/wordml" w14:paraId="46DFFE37" wp14:textId="77777777">
      <w:pPr>
        <w:pStyle w:val="Heading2"/>
        <w:spacing w:before="280" w:after="100"/>
      </w:pPr>
      <w:r w:rsidRPr="6A3CC854" w:rsidR="6A3CC854">
        <w:rPr>
          <w:b w:val="1"/>
          <w:bCs w:val="1"/>
          <w:color w:val="111827"/>
          <w:sz w:val="25"/>
          <w:szCs w:val="25"/>
          <w:lang w:val="en-US"/>
        </w:rPr>
        <w:t>4. Veri migrasyonu ve test</w:t>
      </w:r>
    </w:p>
    <w:p xmlns:wp14="http://schemas.microsoft.com/office/word/2010/wordml" w14:paraId="1F605E5C" wp14:textId="77777777">
      <w:pPr>
        <w:spacing w:before="200" w:after="40"/>
      </w:pPr>
      <w:r>
        <w:rPr>
          <w:b/>
          <w:bCs/>
          <w:color w:val="6B7280"/>
          <w:sz w:val="16"/>
          <w:szCs w:val="16"/>
        </w:rPr>
        <w:t xml:space="preserve">ALT BAŞLIK</w:t>
      </w:r>
    </w:p>
    <w:p xmlns:wp14="http://schemas.microsoft.com/office/word/2010/wordml" w14:paraId="3974B423"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Veri migrasyonu ve test</w:t>
      </w:r>
    </w:p>
    <w:p xmlns:wp14="http://schemas.microsoft.com/office/word/2010/wordml" w14:paraId="75259B61" wp14:textId="77777777">
      <w:pPr>
        <w:spacing w:before="0" w:after="90" w:line="300"/>
      </w:pPr>
      <w:r>
        <w:rPr>
          <w:b/>
          <w:bCs/>
          <w:color w:val="475569"/>
          <w:sz w:val="15"/>
          <w:szCs w:val="15"/>
        </w:rPr>
        <w:t xml:space="preserve">EN</w:t>
      </w:r>
      <w:r>
        <w:t xml:space="preserve"> </w:t>
      </w:r>
      <w:r>
        <w:rPr>
          <w:color w:val="111827"/>
          <w:sz w:val="21"/>
          <w:szCs w:val="21"/>
        </w:rPr>
        <w:t xml:space="preserve">Data migration and testing</w:t>
      </w:r>
    </w:p>
    <w:p xmlns:wp14="http://schemas.microsoft.com/office/word/2010/wordml" w14:paraId="30E215D8" wp14:textId="77777777">
      <w:pPr>
        <w:pStyle w:val="Heading3"/>
        <w:spacing w:before="280" w:after="100"/>
      </w:pPr>
      <w:r>
        <w:rPr>
          <w:b/>
          <w:bCs/>
          <w:color w:val="111827"/>
          <w:sz w:val="22"/>
          <w:szCs w:val="22"/>
        </w:rPr>
        <w:t xml:space="preserve">Metin</w:t>
      </w:r>
    </w:p>
    <w:p xmlns:wp14="http://schemas.microsoft.com/office/word/2010/wordml" w14:paraId="77ABBD6A" wp14:textId="77777777">
      <w:pPr>
        <w:spacing w:before="120" w:after="40" w:line="300" w:lineRule="auto"/>
        <w:ind w:left="400" w:hanging="400"/>
      </w:pPr>
      <w:r w:rsidRPr="6A3CC854" w:rsidR="6A3CC854">
        <w:rPr>
          <w:b w:val="1"/>
          <w:bCs w:val="1"/>
          <w:color w:val="6B7280"/>
          <w:sz w:val="19"/>
          <w:szCs w:val="19"/>
          <w:lang w:val="en-US"/>
        </w:rPr>
        <w:t>1.</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Veri migrasyonunu tek seferlik bir aktarım değil, tekrarlanabilir bir süreç olarak kurarız. Her deneme geçişinde (mock migration) mutabakat raporları otomatik üretilir; bakiyeler, açık kalemler ve sabit kıymet değerleri kaynak ile hedef arasında satır düzeyinde karşılaştırılır. Canlıya geçiş günü sürpriz olmaması, o günden önce yapılan deneme sayısıyla doğru orantılıdır.</w:t>
      </w:r>
    </w:p>
    <w:p xmlns:wp14="http://schemas.microsoft.com/office/word/2010/wordml" w14:paraId="54689079"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We build migration as a repeatable process, not a one-off transfer. Every mock migration produces reconciliation reports automatically, comparing balances, open items and asset values line by line between source and target. The absence of surprises on go-live day is directly proportional to the number of rehearsals before it.</w:t>
      </w:r>
    </w:p>
    <w:p xmlns:wp14="http://schemas.microsoft.com/office/word/2010/wordml" w14:paraId="7EF134D0" wp14:textId="77777777">
      <w:pPr>
        <w:spacing w:before="120" w:after="40" w:line="300" w:lineRule="auto"/>
        <w:ind w:left="400" w:hanging="400"/>
      </w:pPr>
      <w:r w:rsidRPr="6A3CC854" w:rsidR="6A3CC854">
        <w:rPr>
          <w:b w:val="1"/>
          <w:bCs w:val="1"/>
          <w:color w:val="6B7280"/>
          <w:sz w:val="19"/>
          <w:szCs w:val="19"/>
          <w:lang w:val="en-US"/>
        </w:rPr>
        <w:t>2.</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Test tarafında regresyon kapsamını iş süreçlerine göre kurgular, kritik finansal akışların her birinin en az bir uçtan uca senaryoyla kapsandığını güvence altına alırız.</w:t>
      </w:r>
    </w:p>
    <w:p xmlns:wp14="http://schemas.microsoft.com/office/word/2010/wordml" w14:paraId="49AAC9C6" wp14:textId="77777777">
      <w:pPr>
        <w:spacing w:before="0" w:after="60" w:line="300"/>
        <w:ind w:left="400"/>
      </w:pPr>
      <w:r>
        <w:rPr>
          <w:b/>
          <w:bCs/>
          <w:color w:val="475569"/>
          <w:sz w:val="15"/>
          <w:szCs w:val="15"/>
        </w:rPr>
        <w:t xml:space="preserve">EN</w:t>
      </w:r>
      <w:r>
        <w:t xml:space="preserve"> </w:t>
      </w:r>
      <w:r>
        <w:rPr>
          <w:color w:val="111827"/>
          <w:sz w:val="21"/>
          <w:szCs w:val="21"/>
        </w:rPr>
        <w:t xml:space="preserve">On the testing side we scope regression coverage by business process and ensure every critical financial flow is covered by at least one end-to-end scenario with a named owner.</w:t>
      </w:r>
    </w:p>
    <w:p xmlns:wp14="http://schemas.microsoft.com/office/word/2010/wordml" w14:paraId="64EF316D" wp14:textId="77777777">
      <w:pPr>
        <w:pStyle w:val="Heading2"/>
        <w:spacing w:before="280" w:after="100"/>
      </w:pPr>
      <w:r w:rsidRPr="6A3CC854" w:rsidR="6A3CC854">
        <w:rPr>
          <w:b w:val="1"/>
          <w:bCs w:val="1"/>
          <w:color w:val="111827"/>
          <w:sz w:val="25"/>
          <w:szCs w:val="25"/>
          <w:lang w:val="en-US"/>
        </w:rPr>
        <w:t>5. Devreye alma ve hypercare</w:t>
      </w:r>
    </w:p>
    <w:p xmlns:wp14="http://schemas.microsoft.com/office/word/2010/wordml" w14:paraId="7C52BC84" wp14:textId="77777777">
      <w:pPr>
        <w:spacing w:before="200" w:after="40"/>
      </w:pPr>
      <w:r>
        <w:rPr>
          <w:b/>
          <w:bCs/>
          <w:color w:val="6B7280"/>
          <w:sz w:val="16"/>
          <w:szCs w:val="16"/>
        </w:rPr>
        <w:t xml:space="preserve">ALT BAŞLIK</w:t>
      </w:r>
    </w:p>
    <w:p xmlns:wp14="http://schemas.microsoft.com/office/word/2010/wordml" w14:paraId="58EC0F67"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Devreye alma ve hypercare</w:t>
      </w:r>
    </w:p>
    <w:p xmlns:wp14="http://schemas.microsoft.com/office/word/2010/wordml" w14:paraId="682F0786"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Cutover and hypercare</w:t>
      </w:r>
    </w:p>
    <w:p xmlns:wp14="http://schemas.microsoft.com/office/word/2010/wordml" w14:paraId="5A32CA92" wp14:textId="77777777">
      <w:pPr>
        <w:pStyle w:val="Heading3"/>
        <w:spacing w:before="280" w:after="100"/>
      </w:pPr>
      <w:r>
        <w:rPr>
          <w:b/>
          <w:bCs/>
          <w:color w:val="111827"/>
          <w:sz w:val="22"/>
          <w:szCs w:val="22"/>
        </w:rPr>
        <w:t xml:space="preserve">Metin</w:t>
      </w:r>
    </w:p>
    <w:p xmlns:wp14="http://schemas.microsoft.com/office/word/2010/wordml" w14:paraId="3BDF2C8D" wp14:textId="77777777">
      <w:pPr>
        <w:spacing w:before="120" w:after="40" w:line="300" w:lineRule="auto"/>
        <w:ind w:left="400" w:hanging="400"/>
      </w:pPr>
      <w:r w:rsidRPr="6A3CC854" w:rsidR="6A3CC854">
        <w:rPr>
          <w:b w:val="1"/>
          <w:bCs w:val="1"/>
          <w:color w:val="6B7280"/>
          <w:sz w:val="19"/>
          <w:szCs w:val="19"/>
          <w:lang w:val="en-US"/>
        </w:rPr>
        <w:t>1.</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Canlıya geçiş planını saat bazında yazar, geri dönüş (rollback) kriterlerini önceden tanımlarız. Geçişten sonraki ilk kapanış, projenin gerçek sınavıdır; hypercare dönemini bu kapanışı kapsayacak şekilde planlarız ve o kapanışı ekiple birlikte yürütürüz.</w:t>
      </w:r>
    </w:p>
    <w:p xmlns:wp14="http://schemas.microsoft.com/office/word/2010/wordml" w14:paraId="6935AF3F"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The cutover plan is written hour by hour, with rollback criteria defined and agreed before the weekend begins rather than improvised during it. The first close after go-live is the real examination, so hypercare is planned to cover it and we run that close alongside your team.</w:t>
      </w:r>
    </w:p>
    <w:p xmlns:wp14="http://schemas.microsoft.com/office/word/2010/wordml" w:rsidP="6A3CC854" w14:paraId="72D810AA" wp14:textId="77777777">
      <w:pPr>
        <w:pStyle w:val="Heading1"/>
        <w:pBdr>
          <w:bottom w:val="single" w:color="D1D5DB" w:sz="6" w:space="6"/>
        </w:pBdr>
        <w:spacing w:before="400" w:after="100"/>
      </w:pPr>
      <w:r w:rsidRPr="6A3CC854" w:rsidR="6A3CC854">
        <w:rPr>
          <w:b w:val="1"/>
          <w:bCs w:val="1"/>
          <w:color w:val="111827"/>
          <w:sz w:val="30"/>
          <w:szCs w:val="30"/>
          <w:lang w:val="en-US"/>
        </w:rPr>
        <w:t>Teslim edilenler</w:t>
      </w:r>
    </w:p>
    <w:p xmlns:wp14="http://schemas.microsoft.com/office/word/2010/wordml" w14:paraId="30D15009" wp14:textId="77777777">
      <w:pPr>
        <w:spacing w:before="120" w:after="40" w:line="300" w:lineRule="auto"/>
        <w:ind w:left="400" w:hanging="400"/>
      </w:pPr>
      <w:r w:rsidRPr="6A3CC854" w:rsidR="6A3CC854">
        <w:rPr>
          <w:b w:val="1"/>
          <w:bCs w:val="1"/>
          <w:color w:val="6B7280"/>
          <w:sz w:val="19"/>
          <w:szCs w:val="19"/>
          <w:lang w:val="en-US"/>
        </w:rPr>
        <w:t>1.</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Hazırlık analizi raporu: özelleştirme envanteri, uyumsuzluk listesi, veri kalitesi bulguları</w:t>
      </w:r>
    </w:p>
    <w:p xmlns:wp14="http://schemas.microsoft.com/office/word/2010/wordml" w14:paraId="7E451EC8" wp14:textId="77777777">
      <w:pPr>
        <w:spacing w:before="0" w:after="60" w:line="300"/>
        <w:ind w:left="400"/>
      </w:pPr>
      <w:r>
        <w:rPr>
          <w:b/>
          <w:bCs/>
          <w:color w:val="475569"/>
          <w:sz w:val="15"/>
          <w:szCs w:val="15"/>
        </w:rPr>
        <w:t xml:space="preserve">EN</w:t>
      </w:r>
      <w:r>
        <w:t xml:space="preserve"> </w:t>
      </w:r>
      <w:r>
        <w:rPr>
          <w:color w:val="111827"/>
          <w:sz w:val="21"/>
          <w:szCs w:val="21"/>
        </w:rPr>
        <w:t xml:space="preserve">Readiness report: custom code inventory, simplification findings, data quality assessment</w:t>
      </w:r>
    </w:p>
    <w:p xmlns:wp14="http://schemas.microsoft.com/office/word/2010/wordml" w14:paraId="0721DF54" wp14:textId="77777777">
      <w:pPr>
        <w:spacing w:before="120" w:after="40" w:line="300" w:lineRule="auto"/>
        <w:ind w:left="400" w:hanging="400"/>
      </w:pPr>
      <w:r w:rsidRPr="6A3CC854" w:rsidR="6A3CC854">
        <w:rPr>
          <w:b w:val="1"/>
          <w:bCs w:val="1"/>
          <w:color w:val="6B7280"/>
          <w:sz w:val="19"/>
          <w:szCs w:val="19"/>
          <w:lang w:val="en-US"/>
        </w:rPr>
        <w:t>2.</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Geçiş yöntemi karşılaştırması ve gerekçeli öneri</w:t>
      </w:r>
    </w:p>
    <w:p xmlns:wp14="http://schemas.microsoft.com/office/word/2010/wordml" w14:paraId="1AEF6263" wp14:textId="77777777">
      <w:pPr>
        <w:spacing w:before="0" w:after="60" w:line="300"/>
        <w:ind w:left="400"/>
      </w:pPr>
      <w:r>
        <w:rPr>
          <w:b/>
          <w:bCs/>
          <w:color w:val="475569"/>
          <w:sz w:val="15"/>
          <w:szCs w:val="15"/>
        </w:rPr>
        <w:t xml:space="preserve">EN</w:t>
      </w:r>
      <w:r>
        <w:t xml:space="preserve"> </w:t>
      </w:r>
      <w:r>
        <w:rPr>
          <w:color w:val="111827"/>
          <w:sz w:val="21"/>
          <w:szCs w:val="21"/>
        </w:rPr>
        <w:t xml:space="preserve">Comparative analysis of conversion approaches with a reasoned recommendation</w:t>
      </w:r>
    </w:p>
    <w:p xmlns:wp14="http://schemas.microsoft.com/office/word/2010/wordml" w14:paraId="6DEAF9DF" wp14:textId="77777777">
      <w:pPr>
        <w:spacing w:before="120" w:after="40" w:line="300" w:lineRule="auto"/>
        <w:ind w:left="400" w:hanging="400"/>
      </w:pPr>
      <w:r w:rsidRPr="6A3CC854" w:rsidR="6A3CC854">
        <w:rPr>
          <w:b w:val="1"/>
          <w:bCs w:val="1"/>
          <w:color w:val="6B7280"/>
          <w:sz w:val="19"/>
          <w:szCs w:val="19"/>
          <w:lang w:val="en-US"/>
        </w:rPr>
        <w:t>3.</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Hedef mimari ve süreç tasarım dokümanı</w:t>
      </w:r>
    </w:p>
    <w:p xmlns:wp14="http://schemas.microsoft.com/office/word/2010/wordml" w14:paraId="5796B18E" wp14:textId="77777777">
      <w:pPr>
        <w:spacing w:before="0" w:after="60" w:line="300"/>
        <w:ind w:left="400"/>
      </w:pPr>
      <w:r>
        <w:rPr>
          <w:b/>
          <w:bCs/>
          <w:color w:val="475569"/>
          <w:sz w:val="15"/>
          <w:szCs w:val="15"/>
        </w:rPr>
        <w:t xml:space="preserve">EN</w:t>
      </w:r>
      <w:r>
        <w:t xml:space="preserve"> </w:t>
      </w:r>
      <w:r>
        <w:rPr>
          <w:color w:val="111827"/>
          <w:sz w:val="21"/>
          <w:szCs w:val="21"/>
        </w:rPr>
        <w:t xml:space="preserve">Target architecture and process design documentation</w:t>
      </w:r>
    </w:p>
    <w:p xmlns:wp14="http://schemas.microsoft.com/office/word/2010/wordml" w14:paraId="364F1EB4" wp14:textId="77777777">
      <w:pPr>
        <w:spacing w:before="120" w:after="40" w:line="300" w:lineRule="auto"/>
        <w:ind w:left="400" w:hanging="400"/>
      </w:pPr>
      <w:r w:rsidRPr="6A3CC854" w:rsidR="6A3CC854">
        <w:rPr>
          <w:b w:val="1"/>
          <w:bCs w:val="1"/>
          <w:color w:val="6B7280"/>
          <w:sz w:val="19"/>
          <w:szCs w:val="19"/>
          <w:lang w:val="en-US"/>
        </w:rPr>
        <w:t>4.</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Veri migrasyon planı ve mutabakat raporları</w:t>
      </w:r>
    </w:p>
    <w:p xmlns:wp14="http://schemas.microsoft.com/office/word/2010/wordml" w14:paraId="22430D9A" wp14:textId="77777777">
      <w:pPr>
        <w:spacing w:before="0" w:after="60" w:line="300"/>
        <w:ind w:left="400"/>
      </w:pPr>
      <w:r>
        <w:rPr>
          <w:b/>
          <w:bCs/>
          <w:color w:val="475569"/>
          <w:sz w:val="15"/>
          <w:szCs w:val="15"/>
        </w:rPr>
        <w:t xml:space="preserve">EN</w:t>
      </w:r>
      <w:r>
        <w:t xml:space="preserve"> </w:t>
      </w:r>
      <w:r>
        <w:rPr>
          <w:color w:val="111827"/>
          <w:sz w:val="21"/>
          <w:szCs w:val="21"/>
        </w:rPr>
        <w:t xml:space="preserve">Data migration plan with automated reconciliation reporting</w:t>
      </w:r>
    </w:p>
    <w:p xmlns:wp14="http://schemas.microsoft.com/office/word/2010/wordml" w14:paraId="3A4679F9" wp14:textId="77777777">
      <w:pPr>
        <w:spacing w:before="120" w:after="40" w:line="300" w:lineRule="auto"/>
        <w:ind w:left="400" w:hanging="400"/>
      </w:pPr>
      <w:r w:rsidRPr="6A3CC854" w:rsidR="6A3CC854">
        <w:rPr>
          <w:b w:val="1"/>
          <w:bCs w:val="1"/>
          <w:color w:val="6B7280"/>
          <w:sz w:val="19"/>
          <w:szCs w:val="19"/>
          <w:lang w:val="en-US"/>
        </w:rPr>
        <w:t>5.</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Test stratejisi, test senaryoları ve sonuç kayıtları</w:t>
      </w:r>
    </w:p>
    <w:p xmlns:wp14="http://schemas.microsoft.com/office/word/2010/wordml" w14:paraId="3A760B2E"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Test strategy, scenarios and recorded results</w:t>
      </w:r>
    </w:p>
    <w:p xmlns:wp14="http://schemas.microsoft.com/office/word/2010/wordml" w14:paraId="66D30BA0" wp14:textId="77777777">
      <w:pPr>
        <w:spacing w:before="120" w:after="40" w:line="300" w:lineRule="auto"/>
        <w:ind w:left="400" w:hanging="400"/>
      </w:pPr>
      <w:r w:rsidRPr="6A3CC854" w:rsidR="6A3CC854">
        <w:rPr>
          <w:b w:val="1"/>
          <w:bCs w:val="1"/>
          <w:color w:val="6B7280"/>
          <w:sz w:val="19"/>
          <w:szCs w:val="19"/>
          <w:lang w:val="en-US"/>
        </w:rPr>
        <w:t>6.</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Saat bazında devreye alma (cutover) planı ve geri dönüş kriterleri</w:t>
      </w:r>
    </w:p>
    <w:p xmlns:wp14="http://schemas.microsoft.com/office/word/2010/wordml" w14:paraId="6C9798CF" wp14:textId="77777777">
      <w:pPr>
        <w:spacing w:before="0" w:after="60" w:line="300"/>
        <w:ind w:left="400"/>
      </w:pPr>
      <w:r>
        <w:rPr>
          <w:b/>
          <w:bCs/>
          <w:color w:val="475569"/>
          <w:sz w:val="15"/>
          <w:szCs w:val="15"/>
        </w:rPr>
        <w:t xml:space="preserve">EN</w:t>
      </w:r>
      <w:r>
        <w:t xml:space="preserve"> </w:t>
      </w:r>
      <w:r>
        <w:rPr>
          <w:color w:val="111827"/>
          <w:sz w:val="21"/>
          <w:szCs w:val="21"/>
        </w:rPr>
        <w:t xml:space="preserve">Hour-by-hour cutover plan with rollback criteria</w:t>
      </w:r>
    </w:p>
    <w:p xmlns:wp14="http://schemas.microsoft.com/office/word/2010/wordml" w14:paraId="1CCF70CD" wp14:textId="77777777">
      <w:pPr>
        <w:spacing w:before="120" w:after="40" w:line="300" w:lineRule="auto"/>
        <w:ind w:left="400" w:hanging="400"/>
      </w:pPr>
      <w:r w:rsidRPr="6A3CC854" w:rsidR="6A3CC854">
        <w:rPr>
          <w:b w:val="1"/>
          <w:bCs w:val="1"/>
          <w:color w:val="6B7280"/>
          <w:sz w:val="19"/>
          <w:szCs w:val="19"/>
          <w:lang w:val="en-US"/>
        </w:rPr>
        <w:t>7.</w:t>
      </w:r>
      <w:r w:rsidRPr="6A3CC854" w:rsidR="6A3CC854">
        <w:rPr>
          <w:lang w:val="en-US"/>
        </w:rPr>
        <w:t> </w:t>
      </w: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Anahtar kullanıcı eğitimi ve hypercare kapanış raporu</w:t>
      </w:r>
    </w:p>
    <w:p xmlns:wp14="http://schemas.microsoft.com/office/word/2010/wordml" w14:paraId="1BBDBA04" wp14:textId="77777777">
      <w:pPr>
        <w:spacing w:before="0" w:after="60" w:line="300" w:lineRule="auto"/>
        <w:ind w:left="400"/>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Key user training and hypercare closing report</w:t>
      </w:r>
    </w:p>
    <w:p xmlns:wp14="http://schemas.microsoft.com/office/word/2010/wordml" w:rsidP="6A3CC854" w14:paraId="4FC0CA19" wp14:textId="77777777">
      <w:pPr>
        <w:pStyle w:val="Heading1"/>
        <w:pBdr>
          <w:bottom w:val="single" w:color="D1D5DB" w:sz="6" w:space="6"/>
        </w:pBdr>
        <w:spacing w:before="400" w:after="100"/>
      </w:pPr>
      <w:r w:rsidRPr="6A3CC854" w:rsidR="6A3CC854">
        <w:rPr>
          <w:b w:val="1"/>
          <w:bCs w:val="1"/>
          <w:color w:val="111827"/>
          <w:sz w:val="30"/>
          <w:szCs w:val="30"/>
          <w:lang w:val="en-US"/>
        </w:rPr>
        <w:t>Yapay zekânın rolü</w:t>
      </w:r>
    </w:p>
    <w:p xmlns:wp14="http://schemas.microsoft.com/office/word/2010/wordml" w14:paraId="05A9796E" wp14:textId="77777777">
      <w:pPr>
        <w:spacing w:before="200" w:after="40"/>
      </w:pPr>
      <w:r>
        <w:rPr>
          <w:b/>
          <w:bCs/>
          <w:color w:val="6B7280"/>
          <w:sz w:val="16"/>
          <w:szCs w:val="16"/>
        </w:rPr>
        <w:t xml:space="preserve">YAPAY ZEKÂNIN ROLÜ</w:t>
      </w:r>
    </w:p>
    <w:p xmlns:wp14="http://schemas.microsoft.com/office/word/2010/wordml" w14:paraId="2B6043A6"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Özelleştirme envanterinin analizi, kod taraması ve etki değerlendirmesi gibi hacim işlerinde yapay zekâ destekli araçlar kullanıyoruz; aynı şekilde test senaryolarının ilk taslağı ve migrasyon mutabakat kontrollerinin hazırlanmasında da. Bu, hazırlık aşamasını kısaltır. Kapsam kararlarını ve mutabakat sonuçlarının yorumunu her zaman kıdemli danışman verir.</w:t>
      </w:r>
    </w:p>
    <w:p xmlns:wp14="http://schemas.microsoft.com/office/word/2010/wordml" w14:paraId="35C34F2B"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We use AI-assisted tooling for the volume work: custom code analysis, impact assessment, first drafts of test scenarios and migration reconciliation checks. This compresses the assessment phase considerably. Scope decisions and the interpretation of reconciliation results always rest with a senior consultant.</w:t>
      </w:r>
    </w:p>
    <w:p xmlns:wp14="http://schemas.microsoft.com/office/word/2010/wordml" w:rsidP="6A3CC854" w14:paraId="538FFE13" wp14:textId="77777777">
      <w:pPr>
        <w:pStyle w:val="Heading1"/>
        <w:pBdr>
          <w:bottom w:val="single" w:color="D1D5DB" w:sz="6" w:space="6"/>
        </w:pBdr>
        <w:spacing w:before="400" w:after="100"/>
      </w:pPr>
      <w:r w:rsidRPr="6A3CC854" w:rsidR="6A3CC854">
        <w:rPr>
          <w:b w:val="1"/>
          <w:bCs w:val="1"/>
          <w:color w:val="111827"/>
          <w:sz w:val="30"/>
          <w:szCs w:val="30"/>
          <w:lang w:val="en-US"/>
        </w:rPr>
        <w:t>Süre ve ekip</w:t>
      </w:r>
    </w:p>
    <w:p xmlns:wp14="http://schemas.microsoft.com/office/word/2010/wordml" w14:paraId="5E634A25" wp14:textId="77777777">
      <w:pPr>
        <w:spacing w:before="200" w:after="40"/>
      </w:pPr>
      <w:r>
        <w:rPr>
          <w:b/>
          <w:bCs/>
          <w:color w:val="6B7280"/>
          <w:sz w:val="16"/>
          <w:szCs w:val="16"/>
        </w:rPr>
        <w:t xml:space="preserve">SÜRE</w:t>
      </w:r>
    </w:p>
    <w:p xmlns:wp14="http://schemas.microsoft.com/office/word/2010/wordml" w14:paraId="0881AB93"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Hazırlık analizi 4–6 hafta. Dönüşümün kendisi kapsam ve yönteme göre 6–14 ay; tek şirket kodlu sade kurulumlarda daha kısa.</w:t>
      </w:r>
    </w:p>
    <w:p xmlns:wp14="http://schemas.microsoft.com/office/word/2010/wordml" w14:paraId="1820E153"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Readiness assessment 4–6 weeks. The conversion itself runs 6–14 months depending on scope and approach; single-entity landscapes sit at the shorter end.</w:t>
      </w:r>
    </w:p>
    <w:p xmlns:wp14="http://schemas.microsoft.com/office/word/2010/wordml" w14:paraId="7CDD276B" wp14:textId="77777777">
      <w:pPr>
        <w:spacing w:before="200" w:after="40"/>
      </w:pPr>
      <w:r>
        <w:rPr>
          <w:b/>
          <w:bCs/>
          <w:color w:val="6B7280"/>
          <w:sz w:val="16"/>
          <w:szCs w:val="16"/>
        </w:rPr>
        <w:t xml:space="preserve">EKİP</w:t>
      </w:r>
    </w:p>
    <w:p xmlns:wp14="http://schemas.microsoft.com/office/word/2010/wordml" w14:paraId="6971967F"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Çözüm mimarı ve kıdemli FI/CO danışmanı sürekli; veri migrasyonu, teknik geliştirme ve test uzmanları faz bazlı.</w:t>
      </w:r>
    </w:p>
    <w:p xmlns:wp14="http://schemas.microsoft.com/office/word/2010/wordml" w14:paraId="0EBC493D"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Solution architect and senior FI/CO consultant throughout; migration, development and test specialists phased in as needed.</w:t>
      </w:r>
    </w:p>
    <w:p xmlns:wp14="http://schemas.microsoft.com/office/word/2010/wordml" w:rsidP="6A3CC854" w14:paraId="4467AED9" wp14:textId="77777777">
      <w:pPr>
        <w:pStyle w:val="Heading1"/>
        <w:pBdr>
          <w:bottom w:val="single" w:color="D1D5DB" w:sz="6" w:space="6"/>
        </w:pBdr>
        <w:spacing w:before="400" w:after="100"/>
      </w:pPr>
      <w:r w:rsidRPr="6A3CC854" w:rsidR="6A3CC854">
        <w:rPr>
          <w:b w:val="1"/>
          <w:bCs w:val="1"/>
          <w:color w:val="111827"/>
          <w:sz w:val="30"/>
          <w:szCs w:val="30"/>
          <w:lang w:val="en-US"/>
        </w:rPr>
        <w:t>Sık sorulan sorular</w:t>
      </w:r>
    </w:p>
    <w:p xmlns:wp14="http://schemas.microsoft.com/office/word/2010/wordml" w14:paraId="37343869" wp14:textId="77777777">
      <w:pPr>
        <w:spacing w:before="0" w:after="140"/>
      </w:pPr>
      <w:r w:rsidRPr="6A3CC854" w:rsidR="6A3CC854">
        <w:rPr>
          <w:i w:val="1"/>
          <w:iCs w:val="1"/>
          <w:color w:val="6B7280"/>
          <w:sz w:val="17"/>
          <w:szCs w:val="17"/>
          <w:lang w:val="en-US"/>
        </w:rPr>
        <w:t>Sayfanın altında açılır-kapanır soru listesi olarak görünür.</w:t>
      </w:r>
    </w:p>
    <w:p xmlns:wp14="http://schemas.microsoft.com/office/word/2010/wordml" w14:paraId="41A98835" wp14:textId="77777777">
      <w:pPr>
        <w:pStyle w:val="Heading2"/>
        <w:spacing w:before="280" w:after="100"/>
      </w:pPr>
      <w:r w:rsidRPr="6A3CC854" w:rsidR="6A3CC854">
        <w:rPr>
          <w:b w:val="1"/>
          <w:bCs w:val="1"/>
          <w:color w:val="111827"/>
          <w:sz w:val="25"/>
          <w:szCs w:val="25"/>
          <w:lang w:val="en-US"/>
        </w:rPr>
        <w:t>1. Brownfield mi greenfield mi? Kısaca hangisi daha iyi?</w:t>
      </w:r>
    </w:p>
    <w:p xmlns:wp14="http://schemas.microsoft.com/office/word/2010/wordml" w14:paraId="66509791" wp14:textId="77777777">
      <w:pPr>
        <w:spacing w:before="200" w:after="40"/>
      </w:pPr>
      <w:r>
        <w:rPr>
          <w:b/>
          <w:bCs/>
          <w:color w:val="6B7280"/>
          <w:sz w:val="16"/>
          <w:szCs w:val="16"/>
        </w:rPr>
        <w:t xml:space="preserve">SORU</w:t>
      </w:r>
    </w:p>
    <w:p xmlns:wp14="http://schemas.microsoft.com/office/word/2010/wordml" w14:paraId="2B783022"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Brownfield mi greenfield mi? Kısaca hangisi daha iyi?</w:t>
      </w:r>
    </w:p>
    <w:p xmlns:wp14="http://schemas.microsoft.com/office/word/2010/wordml" w14:paraId="776A17AB" wp14:textId="77777777">
      <w:pPr>
        <w:spacing w:before="0" w:after="90" w:line="300"/>
      </w:pPr>
      <w:r>
        <w:rPr>
          <w:b/>
          <w:bCs/>
          <w:color w:val="475569"/>
          <w:sz w:val="15"/>
          <w:szCs w:val="15"/>
        </w:rPr>
        <w:t xml:space="preserve">EN</w:t>
      </w:r>
      <w:r>
        <w:t xml:space="preserve"> </w:t>
      </w:r>
      <w:r>
        <w:rPr>
          <w:color w:val="111827"/>
          <w:sz w:val="21"/>
          <w:szCs w:val="21"/>
        </w:rPr>
        <w:t xml:space="preserve">Brownfield or greenfield — which is better?</w:t>
      </w:r>
    </w:p>
    <w:p xmlns:wp14="http://schemas.microsoft.com/office/word/2010/wordml" w14:paraId="3AADED73" wp14:textId="77777777">
      <w:pPr>
        <w:spacing w:before="200" w:after="40"/>
      </w:pPr>
      <w:r>
        <w:rPr>
          <w:b/>
          <w:bCs/>
          <w:color w:val="6B7280"/>
          <w:sz w:val="16"/>
          <w:szCs w:val="16"/>
        </w:rPr>
        <w:t xml:space="preserve">CEVAP</w:t>
      </w:r>
    </w:p>
    <w:p xmlns:wp14="http://schemas.microsoft.com/office/word/2010/wordml" w14:paraId="18E51600"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Genel geçer bir cevabı yok, ve genel geçer cevap veren danışmana temkinli yaklaşın. Süreçleriniz büyük ölçüde çalışıyor ve tarihsel veriyi korumanız gerekiyorsa brownfield genellikle daha kısa ve ucuzdur. Süreçler köklü biçimde değişecekse ya da mevcut kurulum ağır teknik borç taşıyorsa greenfield toplamda daha temiz çıkar. İkisinin arasındaki durumlar için seçici veri geçişi vardır ve pratikte en sık doğru cevap odur.</w:t>
      </w:r>
    </w:p>
    <w:p xmlns:wp14="http://schemas.microsoft.com/office/word/2010/wordml" w14:paraId="7633A174"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There is no general answer, and an advisor who gives one without looking at your system is selling rather than advising. If your processes largely work and history must be retained, brownfield is usually shorter and cheaper. If processes are changing fundamentally or the landscape carries heavy technical debt, greenfield is cleaner overall. Selective data transition exists for everything in between, which in practice is where most organisations sit.</w:t>
      </w:r>
    </w:p>
    <w:p xmlns:wp14="http://schemas.microsoft.com/office/word/2010/wordml" w14:paraId="2700F9DC" wp14:textId="77777777">
      <w:pPr>
        <w:pStyle w:val="Heading2"/>
        <w:spacing w:before="280" w:after="100"/>
      </w:pPr>
      <w:r w:rsidRPr="6A3CC854" w:rsidR="6A3CC854">
        <w:rPr>
          <w:b w:val="1"/>
          <w:bCs w:val="1"/>
          <w:color w:val="111827"/>
          <w:sz w:val="25"/>
          <w:szCs w:val="25"/>
          <w:lang w:val="en-US"/>
        </w:rPr>
        <w:t>2. Ne kadar tarihsel veri taşıyabiliriz?</w:t>
      </w:r>
    </w:p>
    <w:p xmlns:wp14="http://schemas.microsoft.com/office/word/2010/wordml" w14:paraId="20DD1541" wp14:textId="77777777">
      <w:pPr>
        <w:spacing w:before="200" w:after="40"/>
      </w:pPr>
      <w:r>
        <w:rPr>
          <w:b/>
          <w:bCs/>
          <w:color w:val="6B7280"/>
          <w:sz w:val="16"/>
          <w:szCs w:val="16"/>
        </w:rPr>
        <w:t xml:space="preserve">SORU</w:t>
      </w:r>
    </w:p>
    <w:p xmlns:wp14="http://schemas.microsoft.com/office/word/2010/wordml" w14:paraId="5686FB68"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Ne kadar tarihsel veri taşıyabiliriz?</w:t>
      </w:r>
    </w:p>
    <w:p xmlns:wp14="http://schemas.microsoft.com/office/word/2010/wordml" w14:paraId="6944CC04" wp14:textId="77777777">
      <w:pPr>
        <w:spacing w:before="0" w:after="90" w:line="300"/>
      </w:pPr>
      <w:r>
        <w:rPr>
          <w:b/>
          <w:bCs/>
          <w:color w:val="475569"/>
          <w:sz w:val="15"/>
          <w:szCs w:val="15"/>
        </w:rPr>
        <w:t xml:space="preserve">EN</w:t>
      </w:r>
      <w:r>
        <w:t xml:space="preserve"> </w:t>
      </w:r>
      <w:r>
        <w:rPr>
          <w:color w:val="111827"/>
          <w:sz w:val="21"/>
          <w:szCs w:val="21"/>
        </w:rPr>
        <w:t xml:space="preserve">How much historical data can we bring across?</w:t>
      </w:r>
    </w:p>
    <w:p xmlns:wp14="http://schemas.microsoft.com/office/word/2010/wordml" w14:paraId="09D45D85" wp14:textId="77777777">
      <w:pPr>
        <w:spacing w:before="200" w:after="40"/>
      </w:pPr>
      <w:r>
        <w:rPr>
          <w:b/>
          <w:bCs/>
          <w:color w:val="6B7280"/>
          <w:sz w:val="16"/>
          <w:szCs w:val="16"/>
        </w:rPr>
        <w:t xml:space="preserve">CEVAP</w:t>
      </w:r>
    </w:p>
    <w:p xmlns:wp14="http://schemas.microsoft.com/office/word/2010/wordml" w14:paraId="6B2B1B0A"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Teknik olarak tamamı taşınabilir, ancak taşınması gerektiği anlamına gelmez. Yasal saklama yükümlülüğü, denetim ihtiyacı ve karşılaştırmalı raporlama gereksinimi ile migrasyon süresi ve sistem büyüklüğü arasında bir denge kurmak gerekir. Bu dengeyi hazırlık aşamasında finans ve denetim tarafıyla birlikte netleştiririz.</w:t>
      </w:r>
    </w:p>
    <w:p xmlns:wp14="http://schemas.microsoft.com/office/word/2010/wordml" w14:paraId="6AC29AC3"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Technically all of it — which does not mean you should. The balance sits between statutory retention, audit needs and comparative reporting on one side, and migration runtime and system size on the other. We settle this with finance and audit during the assessment rather than discovering it during cutover.</w:t>
      </w:r>
    </w:p>
    <w:p xmlns:wp14="http://schemas.microsoft.com/office/word/2010/wordml" w14:paraId="4B528A57" wp14:textId="77777777">
      <w:pPr>
        <w:pStyle w:val="Heading2"/>
        <w:spacing w:before="280" w:after="100"/>
      </w:pPr>
      <w:r w:rsidRPr="6A3CC854" w:rsidR="6A3CC854">
        <w:rPr>
          <w:b w:val="1"/>
          <w:bCs w:val="1"/>
          <w:color w:val="111827"/>
          <w:sz w:val="25"/>
          <w:szCs w:val="25"/>
          <w:lang w:val="en-US"/>
        </w:rPr>
        <w:t>3. Geçiş sırasında sistemimiz ne kadar süre kapalı kalır?</w:t>
      </w:r>
    </w:p>
    <w:p xmlns:wp14="http://schemas.microsoft.com/office/word/2010/wordml" w14:paraId="3D111B05" wp14:textId="77777777">
      <w:pPr>
        <w:spacing w:before="200" w:after="40"/>
      </w:pPr>
      <w:r>
        <w:rPr>
          <w:b/>
          <w:bCs/>
          <w:color w:val="6B7280"/>
          <w:sz w:val="16"/>
          <w:szCs w:val="16"/>
        </w:rPr>
        <w:t xml:space="preserve">SORU</w:t>
      </w:r>
    </w:p>
    <w:p xmlns:wp14="http://schemas.microsoft.com/office/word/2010/wordml" w14:paraId="75874049"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Geçiş sırasında sistemimiz ne kadar süre kapalı kalır?</w:t>
      </w:r>
    </w:p>
    <w:p xmlns:wp14="http://schemas.microsoft.com/office/word/2010/wordml" w14:paraId="080D4C93" wp14:textId="77777777">
      <w:pPr>
        <w:spacing w:before="0" w:after="90" w:line="300"/>
      </w:pPr>
      <w:r>
        <w:rPr>
          <w:b/>
          <w:bCs/>
          <w:color w:val="475569"/>
          <w:sz w:val="15"/>
          <w:szCs w:val="15"/>
        </w:rPr>
        <w:t xml:space="preserve">EN</w:t>
      </w:r>
      <w:r>
        <w:t xml:space="preserve"> </w:t>
      </w:r>
      <w:r>
        <w:rPr>
          <w:color w:val="111827"/>
          <w:sz w:val="21"/>
          <w:szCs w:val="21"/>
        </w:rPr>
        <w:t xml:space="preserve">How long will the system be unavailable during go-live?</w:t>
      </w:r>
    </w:p>
    <w:p xmlns:wp14="http://schemas.microsoft.com/office/word/2010/wordml" w14:paraId="40DE21DC" wp14:textId="77777777">
      <w:pPr>
        <w:spacing w:before="200" w:after="40"/>
      </w:pPr>
      <w:r>
        <w:rPr>
          <w:b/>
          <w:bCs/>
          <w:color w:val="6B7280"/>
          <w:sz w:val="16"/>
          <w:szCs w:val="16"/>
        </w:rPr>
        <w:t xml:space="preserve">CEVAP</w:t>
      </w:r>
    </w:p>
    <w:p xmlns:wp14="http://schemas.microsoft.com/office/word/2010/wordml" w14:paraId="506CA1DE"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Devreye alma penceresi kapsama, veri hacmine ve seçilen yönteme göre değişir; tipik olarak uzun bir hafta sonu planlanır. Kesin süre, deneme geçişlerinde ölçülür — plan bu ölçüme dayanır, tahmine değil.</w:t>
      </w:r>
    </w:p>
    <w:p xmlns:wp14="http://schemas.microsoft.com/office/word/2010/wordml" w14:paraId="625BE98D"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The cutover window depends on scope, data volume and approach, and is typically planned across a long weekend. The precise duration is measured during mock migrations, so the plan rests on measurement rather than estimate.</w:t>
      </w:r>
    </w:p>
    <w:p xmlns:wp14="http://schemas.microsoft.com/office/word/2010/wordml" w14:paraId="2416E007" wp14:textId="77777777">
      <w:pPr>
        <w:pStyle w:val="Heading2"/>
        <w:spacing w:before="280" w:after="100"/>
      </w:pPr>
      <w:r w:rsidRPr="6A3CC854" w:rsidR="6A3CC854">
        <w:rPr>
          <w:b w:val="1"/>
          <w:bCs w:val="1"/>
          <w:color w:val="111827"/>
          <w:sz w:val="25"/>
          <w:szCs w:val="25"/>
          <w:lang w:val="en-US"/>
        </w:rPr>
        <w:t>4. RISE with SAP kapsamında geçiş yapıyoruz. Sizinle çalışmak çakışır mı?</w:t>
      </w:r>
    </w:p>
    <w:p xmlns:wp14="http://schemas.microsoft.com/office/word/2010/wordml" w14:paraId="09471081" wp14:textId="77777777">
      <w:pPr>
        <w:spacing w:before="200" w:after="40"/>
      </w:pPr>
      <w:r>
        <w:rPr>
          <w:b/>
          <w:bCs/>
          <w:color w:val="6B7280"/>
          <w:sz w:val="16"/>
          <w:szCs w:val="16"/>
        </w:rPr>
        <w:t xml:space="preserve">SORU</w:t>
      </w:r>
    </w:p>
    <w:p xmlns:wp14="http://schemas.microsoft.com/office/word/2010/wordml" w14:paraId="7778DE53"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RISE with SAP kapsamında geçiş yapıyoruz. Sizinle çalışmak çakışır mı?</w:t>
      </w:r>
    </w:p>
    <w:p xmlns:wp14="http://schemas.microsoft.com/office/word/2010/wordml" w14:paraId="093D8F17" wp14:textId="77777777">
      <w:pPr>
        <w:spacing w:before="0" w:after="90" w:line="300"/>
      </w:pPr>
      <w:r>
        <w:rPr>
          <w:b/>
          <w:bCs/>
          <w:color w:val="475569"/>
          <w:sz w:val="15"/>
          <w:szCs w:val="15"/>
        </w:rPr>
        <w:t xml:space="preserve">EN</w:t>
      </w:r>
      <w:r>
        <w:t xml:space="preserve"> </w:t>
      </w:r>
      <w:r>
        <w:rPr>
          <w:color w:val="111827"/>
          <w:sz w:val="21"/>
          <w:szCs w:val="21"/>
        </w:rPr>
        <w:t xml:space="preserve">We are converting under RISE with SAP. Does that conflict with engaging you?</w:t>
      </w:r>
    </w:p>
    <w:p xmlns:wp14="http://schemas.microsoft.com/office/word/2010/wordml" w14:paraId="2A676FC3" wp14:textId="77777777">
      <w:pPr>
        <w:spacing w:before="200" w:after="40"/>
      </w:pPr>
      <w:r>
        <w:rPr>
          <w:b/>
          <w:bCs/>
          <w:color w:val="6B7280"/>
          <w:sz w:val="16"/>
          <w:szCs w:val="16"/>
        </w:rPr>
        <w:t xml:space="preserve">CEVAP</w:t>
      </w:r>
    </w:p>
    <w:p xmlns:wp14="http://schemas.microsoft.com/office/word/2010/wordml" w14:paraId="273C0A20"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Hayır. RISE altyapı ve lisans tarafını kapsar; süreç tasarımı, finans yapılandırması ve veri migrasyonunun doğruluğu yine sizin sorumluluğunuzdadır. Biz bu tarafta çalışırız ve altyapı sağlayıcısıyla koordinasyonu yürütürüz.</w:t>
      </w:r>
    </w:p>
    <w:p xmlns:wp14="http://schemas.microsoft.com/office/word/2010/wordml" w14:paraId="0C48E842" wp14:textId="77777777">
      <w:pPr>
        <w:spacing w:before="0" w:after="90" w:line="300"/>
      </w:pPr>
      <w:r>
        <w:rPr>
          <w:b/>
          <w:bCs/>
          <w:color w:val="475569"/>
          <w:sz w:val="15"/>
          <w:szCs w:val="15"/>
        </w:rPr>
        <w:t xml:space="preserve">EN</w:t>
      </w:r>
      <w:r>
        <w:t xml:space="preserve"> </w:t>
      </w:r>
      <w:r>
        <w:rPr>
          <w:color w:val="111827"/>
          <w:sz w:val="21"/>
          <w:szCs w:val="21"/>
        </w:rPr>
        <w:t xml:space="preserve">No. RISE covers infrastructure and licensing. Process design, finance configuration and the correctness of your data migration remain your responsibility. That is the layer we work in, and we coordinate with the hosting provider rather than duplicating them.</w:t>
      </w:r>
    </w:p>
    <w:p xmlns:wp14="http://schemas.microsoft.com/office/word/2010/wordml" w14:paraId="3CF71C32" wp14:textId="77777777">
      <w:pPr>
        <w:pStyle w:val="Heading2"/>
        <w:spacing w:before="280" w:after="100"/>
      </w:pPr>
      <w:r w:rsidRPr="6A3CC854" w:rsidR="6A3CC854">
        <w:rPr>
          <w:b w:val="1"/>
          <w:bCs w:val="1"/>
          <w:color w:val="111827"/>
          <w:sz w:val="25"/>
          <w:szCs w:val="25"/>
          <w:lang w:val="en-US"/>
        </w:rPr>
        <w:t>5. Projenin ortasında ekibimizin ne kadar zamanı gidecek?</w:t>
      </w:r>
    </w:p>
    <w:p xmlns:wp14="http://schemas.microsoft.com/office/word/2010/wordml" w14:paraId="0EA88033" wp14:textId="77777777">
      <w:pPr>
        <w:spacing w:before="200" w:after="40"/>
      </w:pPr>
      <w:r>
        <w:rPr>
          <w:b/>
          <w:bCs/>
          <w:color w:val="6B7280"/>
          <w:sz w:val="16"/>
          <w:szCs w:val="16"/>
        </w:rPr>
        <w:t xml:space="preserve">SORU</w:t>
      </w:r>
    </w:p>
    <w:p xmlns:wp14="http://schemas.microsoft.com/office/word/2010/wordml" w14:paraId="6302C79C"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Projenin ortasında ekibimizin ne kadar zamanı gidecek?</w:t>
      </w:r>
    </w:p>
    <w:p xmlns:wp14="http://schemas.microsoft.com/office/word/2010/wordml" w14:paraId="2D25F103" wp14:textId="77777777">
      <w:pPr>
        <w:spacing w:before="0" w:after="90" w:line="300"/>
      </w:pPr>
      <w:r>
        <w:rPr>
          <w:b/>
          <w:bCs/>
          <w:color w:val="475569"/>
          <w:sz w:val="15"/>
          <w:szCs w:val="15"/>
        </w:rPr>
        <w:t xml:space="preserve">EN</w:t>
      </w:r>
      <w:r>
        <w:t xml:space="preserve"> </w:t>
      </w:r>
      <w:r>
        <w:rPr>
          <w:color w:val="111827"/>
          <w:sz w:val="21"/>
          <w:szCs w:val="21"/>
        </w:rPr>
        <w:t xml:space="preserve">How much of our own team’s time will this take?</w:t>
      </w:r>
    </w:p>
    <w:p xmlns:wp14="http://schemas.microsoft.com/office/word/2010/wordml" w14:paraId="548B0A50" wp14:textId="77777777">
      <w:pPr>
        <w:spacing w:before="200" w:after="40"/>
      </w:pPr>
      <w:r>
        <w:rPr>
          <w:b/>
          <w:bCs/>
          <w:color w:val="6B7280"/>
          <w:sz w:val="16"/>
          <w:szCs w:val="16"/>
        </w:rPr>
        <w:t xml:space="preserve">CEVAP</w:t>
      </w:r>
    </w:p>
    <w:p xmlns:wp14="http://schemas.microsoft.com/office/word/2010/wordml" w14:paraId="767D60BB"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Bunu baştan ve açık şekilde söyleriz, çünkü küçümsenen iş birimi eforu projeleri geciktiren birinci nedendir. Kilit kullanıcıların test ve doğrulama fazlarında haftalık ciddi bir zaman ayırması gerekir; planı bu gerçeği gizlemeden kurarız.</w:t>
      </w:r>
    </w:p>
    <w:p xmlns:wp14="http://schemas.microsoft.com/office/word/2010/wordml" w14:paraId="6AAA939C"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We state this openly at the start, because underestimated business-side effort is the leading cause of delay in these programmes. Key users need substantial weekly time during testing and validation phases. We plan against that reality instead of hiding it to make the timeline look attractive.</w:t>
      </w:r>
    </w:p>
    <w:p xmlns:wp14="http://schemas.microsoft.com/office/word/2010/wordml" w14:paraId="54572AC1" wp14:textId="77777777">
      <w:pPr>
        <w:pStyle w:val="Heading2"/>
        <w:spacing w:before="280" w:after="100"/>
      </w:pPr>
      <w:r w:rsidRPr="6A3CC854" w:rsidR="6A3CC854">
        <w:rPr>
          <w:b w:val="1"/>
          <w:bCs w:val="1"/>
          <w:color w:val="111827"/>
          <w:sz w:val="25"/>
          <w:szCs w:val="25"/>
          <w:lang w:val="en-US"/>
        </w:rPr>
        <w:t>6. Daha önce başlayıp duran bir projemiz vardı. Sıfırdan mı başlamalıyız?</w:t>
      </w:r>
    </w:p>
    <w:p xmlns:wp14="http://schemas.microsoft.com/office/word/2010/wordml" w14:paraId="272F8B1F" wp14:textId="77777777">
      <w:pPr>
        <w:spacing w:before="200" w:after="40"/>
      </w:pPr>
      <w:r>
        <w:rPr>
          <w:b/>
          <w:bCs/>
          <w:color w:val="6B7280"/>
          <w:sz w:val="16"/>
          <w:szCs w:val="16"/>
        </w:rPr>
        <w:t xml:space="preserve">SORU</w:t>
      </w:r>
    </w:p>
    <w:p xmlns:wp14="http://schemas.microsoft.com/office/word/2010/wordml" w14:paraId="5597F6BF"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Daha önce başlayıp duran bir projemiz vardı. Sıfırdan mı başlamalıyız?</w:t>
      </w:r>
    </w:p>
    <w:p xmlns:wp14="http://schemas.microsoft.com/office/word/2010/wordml" w14:paraId="7C40DD78"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Our previous attempt stalled. Do we start over?</w:t>
      </w:r>
    </w:p>
    <w:p xmlns:wp14="http://schemas.microsoft.com/office/word/2010/wordml" w14:paraId="22535EB4" wp14:textId="77777777">
      <w:pPr>
        <w:spacing w:before="200" w:after="40"/>
      </w:pPr>
      <w:r>
        <w:rPr>
          <w:b/>
          <w:bCs/>
          <w:color w:val="6B7280"/>
          <w:sz w:val="16"/>
          <w:szCs w:val="16"/>
        </w:rPr>
        <w:t xml:space="preserve">CEVAP</w:t>
      </w:r>
    </w:p>
    <w:p xmlns:wp14="http://schemas.microsoft.com/office/word/2010/wordml" w14:paraId="1B323F7E"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Genellikle hayır. Önceki çalışmanın hangi bölümünün hâlâ geçerli olduğunu değerlendiririz; tasarım dokümanları ve alınmış kararlar çoğu zaman kısmen kurtarılabilir. Önce duruşun nedenini anlarız — teknik bir tıkanma ile sahiplenme eksikliği çok farklı çözümler gerektirir.</w:t>
      </w:r>
    </w:p>
    <w:p xmlns:wp14="http://schemas.microsoft.com/office/word/2010/wordml" w14:paraId="71353A4E"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Usually not. We assess which parts of the earlier work remain valid — design documentation and decisions already taken are often partly recoverable. First we establish why it stopped, because a technical blocker and an ownership vacuum call for entirely different remedies.</w:t>
      </w:r>
    </w:p>
    <w:p xmlns:wp14="http://schemas.microsoft.com/office/word/2010/wordml" w:rsidP="6A3CC854" w14:paraId="28144A8D" wp14:textId="77777777">
      <w:pPr>
        <w:pStyle w:val="Heading1"/>
        <w:pBdr>
          <w:bottom w:val="single" w:color="D1D5DB" w:sz="6" w:space="6"/>
        </w:pBdr>
        <w:spacing w:before="400" w:after="100"/>
      </w:pPr>
      <w:r w:rsidRPr="6A3CC854" w:rsidR="6A3CC854">
        <w:rPr>
          <w:b w:val="1"/>
          <w:bCs w:val="1"/>
          <w:color w:val="111827"/>
          <w:sz w:val="30"/>
          <w:szCs w:val="30"/>
          <w:lang w:val="en-US"/>
        </w:rPr>
        <w:t>Karşılaştırma tablosundaki satır</w:t>
      </w:r>
    </w:p>
    <w:p xmlns:wp14="http://schemas.microsoft.com/office/word/2010/wordml" w14:paraId="2D67848F" wp14:textId="77777777">
      <w:pPr>
        <w:spacing w:before="0" w:after="140"/>
      </w:pPr>
      <w:r w:rsidRPr="6A3CC854" w:rsidR="6A3CC854">
        <w:rPr>
          <w:i w:val="1"/>
          <w:iCs w:val="1"/>
          <w:color w:val="6B7280"/>
          <w:sz w:val="17"/>
          <w:szCs w:val="17"/>
          <w:lang w:val="en-US"/>
        </w:rPr>
        <w:t>Bu çözümün, Çözümler sayfasındaki karşılaştırma tablosunda yer alan satırı.</w:t>
      </w:r>
    </w:p>
    <w:p xmlns:wp14="http://schemas.microsoft.com/office/word/2010/wordml" w14:paraId="12E376E1" wp14:textId="77777777">
      <w:pPr>
        <w:spacing w:before="200" w:after="40"/>
      </w:pPr>
      <w:r>
        <w:rPr>
          <w:b/>
          <w:bCs/>
          <w:color w:val="6B7280"/>
          <w:sz w:val="16"/>
          <w:szCs w:val="16"/>
        </w:rPr>
        <w:t xml:space="preserve">KİME UYGUN</w:t>
      </w:r>
    </w:p>
    <w:p xmlns:wp14="http://schemas.microsoft.com/office/word/2010/wordml" w14:paraId="334F464A"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ECC üzerinde olup geçiş planlaması gereken şirketler</w:t>
      </w:r>
    </w:p>
    <w:p xmlns:wp14="http://schemas.microsoft.com/office/word/2010/wordml" w14:paraId="7AC362F4"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Organisations on ECC that need a conversion plan</w:t>
      </w:r>
    </w:p>
    <w:p xmlns:wp14="http://schemas.microsoft.com/office/word/2010/wordml" w14:paraId="689036BB" wp14:textId="77777777">
      <w:pPr>
        <w:spacing w:before="200" w:after="40"/>
      </w:pPr>
      <w:r>
        <w:rPr>
          <w:b/>
          <w:bCs/>
          <w:color w:val="6B7280"/>
          <w:sz w:val="16"/>
          <w:szCs w:val="16"/>
        </w:rPr>
        <w:t xml:space="preserve">SÜRE</w:t>
      </w:r>
    </w:p>
    <w:p xmlns:wp14="http://schemas.microsoft.com/office/word/2010/wordml" w14:paraId="1157D85E"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Analiz 4–6 hafta, dönüşüm 6–14 ay</w:t>
      </w:r>
    </w:p>
    <w:p xmlns:wp14="http://schemas.microsoft.com/office/word/2010/wordml" w14:paraId="37ACDDA1" wp14:textId="77777777">
      <w:pPr>
        <w:spacing w:before="0" w:after="90" w:line="300" w:lineRule="auto"/>
      </w:pPr>
      <w:r w:rsidRPr="6A3CC854" w:rsidR="6A3CC854">
        <w:rPr>
          <w:b w:val="1"/>
          <w:bCs w:val="1"/>
          <w:color w:val="475569"/>
          <w:sz w:val="15"/>
          <w:szCs w:val="15"/>
          <w:lang w:val="en-US"/>
        </w:rPr>
        <w:t>EN</w:t>
      </w:r>
      <w:r w:rsidRPr="6A3CC854" w:rsidR="6A3CC854">
        <w:rPr>
          <w:lang w:val="en-US"/>
        </w:rPr>
        <w:t> </w:t>
      </w:r>
      <w:r w:rsidRPr="6A3CC854" w:rsidR="6A3CC854">
        <w:rPr>
          <w:color w:val="111827"/>
          <w:sz w:val="21"/>
          <w:szCs w:val="21"/>
          <w:lang w:val="en-US"/>
        </w:rPr>
        <w:t>Assessment 4–6 weeks, conversion 6–14 months</w:t>
      </w:r>
    </w:p>
    <w:p xmlns:wp14="http://schemas.microsoft.com/office/word/2010/wordml" w14:paraId="6458B90D" wp14:textId="77777777">
      <w:pPr>
        <w:spacing w:before="200" w:after="40"/>
      </w:pPr>
      <w:r>
        <w:rPr>
          <w:b/>
          <w:bCs/>
          <w:color w:val="6B7280"/>
          <w:sz w:val="16"/>
          <w:szCs w:val="16"/>
        </w:rPr>
        <w:t xml:space="preserve">ANA KAZANIM</w:t>
      </w:r>
    </w:p>
    <w:p xmlns:wp14="http://schemas.microsoft.com/office/word/2010/wordml" w14:paraId="4B4A6B74" wp14:textId="77777777">
      <w:pPr>
        <w:spacing w:before="0" w:after="90" w:line="300" w:lineRule="auto"/>
      </w:pPr>
      <w:r w:rsidRPr="6A3CC854" w:rsidR="6A3CC854">
        <w:rPr>
          <w:b w:val="1"/>
          <w:bCs w:val="1"/>
          <w:color w:val="B45309"/>
          <w:sz w:val="15"/>
          <w:szCs w:val="15"/>
          <w:lang w:val="en-US"/>
        </w:rPr>
        <w:t>TR</w:t>
      </w:r>
      <w:r w:rsidRPr="6A3CC854" w:rsidR="6A3CC854">
        <w:rPr>
          <w:lang w:val="en-US"/>
        </w:rPr>
        <w:t> </w:t>
      </w:r>
      <w:r w:rsidRPr="6A3CC854" w:rsidR="6A3CC854">
        <w:rPr>
          <w:color w:val="111827"/>
          <w:sz w:val="21"/>
          <w:szCs w:val="21"/>
          <w:lang w:val="en-US"/>
        </w:rPr>
        <w:t>Gerekçeli yöntem kararı ve öngörülebilir geçiş</w:t>
      </w:r>
    </w:p>
    <w:p xmlns:wp14="http://schemas.microsoft.com/office/word/2010/wordml" w14:paraId="61C97028" wp14:textId="77777777">
      <w:pPr>
        <w:spacing w:before="0" w:after="90" w:line="300"/>
      </w:pPr>
      <w:r>
        <w:rPr>
          <w:b/>
          <w:bCs/>
          <w:color w:val="475569"/>
          <w:sz w:val="15"/>
          <w:szCs w:val="15"/>
        </w:rPr>
        <w:t xml:space="preserve">EN</w:t>
      </w:r>
      <w:r>
        <w:t xml:space="preserve"> </w:t>
      </w:r>
      <w:r>
        <w:rPr>
          <w:color w:val="111827"/>
          <w:sz w:val="21"/>
          <w:szCs w:val="21"/>
        </w:rPr>
        <w:t xml:space="preserve">A defensible approach decision and a predictable cutover</w:t>
      </w:r>
    </w:p>
    <w:sectPr>
      <w:footerReference w:type="default" r:id="rId7"/>
      <w:pgSz w:w="11906" w:h="16838" w:orient="portrait"/>
      <w:pgMar w:top="1296" w:right="1440" w:bottom="1296"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A3CC854" w14:paraId="078D1DA5" wp14:textId="77777777">
    <w:pPr>
      <w:jc w:val="right"/>
      <w:rPr>
        <w:lang w:val="en-US"/>
      </w:rPr>
    </w:pPr>
    <w:r w:rsidRPr="6A3CC854" w:rsidR="6A3CC854">
      <w:rPr>
        <w:color w:val="6B7280"/>
        <w:sz w:val="15"/>
        <w:szCs w:val="15"/>
        <w:lang w:val="en-US"/>
      </w:rPr>
      <w:t xml:space="preserve">S/4HANA Dönüşümü Çözüm Sayfası Metinleri  ·  </w:t>
    </w:r>
    <w:r w:rsidRPr="6A3CC854">
      <w:rPr>
        <w:color w:val="6B7280"/>
        <w:sz w:val="15"/>
        <w:szCs w:val="15"/>
        <w:lang w:val="en-US"/>
      </w:rPr>
      <w:fldChar w:fldCharType="begin"/>
    </w:r>
    <w:r w:rsidRPr="6A3CC854">
      <w:rPr>
        <w:color w:val="6B7280"/>
        <w:sz w:val="15"/>
        <w:szCs w:val="15"/>
      </w:rPr>
      <w:instrText xml:space="preserve">PAGE</w:instrText>
    </w:r>
    <w:r w:rsidRPr="6A3CC854">
      <w:rPr>
        <w:color w:val="6B7280"/>
        <w:sz w:val="15"/>
        <w:szCs w:val="15"/>
      </w:rPr>
      <w:fldChar w:fldCharType="separate"/>
    </w:r>
    <w:r w:rsidRPr="6A3CC854">
      <w:rPr>
        <w:color w:val="6B7280"/>
        <w:sz w:val="15"/>
        <w:szCs w:val="15"/>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de5e23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514F2A4"/>
  <w15:docId w15:val="{4B14AB42-DCCB-47ED-B813-3241A2B283CF}"/>
  <w:rsids>
    <w:rsidRoot w:val="6A3CC854"/>
    <w:rsid w:val="6A3CC85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S/4HANA Dönüşümü Çözüm Sayfası Metinleri</dc:title>
  <dc:creator>CPeak Consultancy</dc:creator>
  <dc:description>Kaynak: src/data/solutions/s4hana.ts</dc:description>
  <lastModifiedBy>Kerem Yiğit</lastModifiedBy>
  <revision>2</revision>
  <dcterms:created xsi:type="dcterms:W3CDTF">2026-08-16T20:34:28.1250000Z</dcterms:created>
  <dcterms:modified xsi:type="dcterms:W3CDTF">2026-08-25T13:43:21.0202578Z</dcterms:modified>
</coreProperties>
</file>

<file path=docProps/custom.xml><?xml version="1.0" encoding="utf-8"?>
<Properties xmlns="http://schemas.openxmlformats.org/officeDocument/2006/custom-properties" xmlns:vt="http://schemas.openxmlformats.org/officeDocument/2006/docPropsVTypes"/>
</file>