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5FAE"/>
          <w:sz w:val="18"/>
          <w:szCs w:val="18"/>
        </w:rPr>
        <w:t xml:space="preserve">UNITED GROUP  •  SAP S/4HANA PUBLIC CLOUD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4284B"/>
          <w:sz w:val="40"/>
          <w:szCs w:val="40"/>
        </w:rPr>
        <w:t xml:space="preserve">FI Kavramsal Tasarım Değerlendirme Notları</w:t>
      </w:r>
    </w:p>
    <w:p>
      <w:pPr>
        <w:pBdr>
          <w:bottom w:val="single" w:color="14284B" w:sz="18" w:space="6"/>
        </w:pBd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07.10.2026   |   Kapsam: FI çözüm dokümanları (J58, J59, J60, J62, BFA, BFH, 1GO, 1WQ) ve CO notları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Renk rehberi: 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■ Karar   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■ Hata   </w:t>
      </w:r>
      <w:r>
        <w:rPr>
          <w:rFonts w:ascii="Calibri" w:cs="Calibri" w:eastAsia="Calibri" w:hAnsi="Calibri"/>
          <w:b/>
          <w:bCs/>
          <w:color w:val="D35400"/>
          <w:sz w:val="18"/>
          <w:szCs w:val="18"/>
        </w:rPr>
        <w:t xml:space="preserve">■ Soru / açık konu   </w:t>
      </w:r>
      <w:r>
        <w:rPr>
          <w:rFonts w:ascii="Calibri" w:cs="Calibri" w:eastAsia="Calibri" w:hAnsi="Calibri"/>
          <w:b/>
          <w:bCs/>
          <w:color w:val="1F5FAE"/>
          <w:sz w:val="18"/>
          <w:szCs w:val="18"/>
        </w:rPr>
        <w:t xml:space="preserve">■ Not   </w:t>
      </w:r>
      <w:r>
        <w:rPr>
          <w:rFonts w:ascii="Calibri" w:cs="Calibri" w:eastAsia="Calibri" w:hAnsi="Calibri"/>
          <w:b/>
          <w:bCs/>
          <w:color w:val="7D3C98"/>
          <w:sz w:val="18"/>
          <w:szCs w:val="18"/>
        </w:rPr>
        <w:t xml:space="preserve">■ Öneri</w:t>
      </w:r>
    </w:p>
    <w:p>
      <w:pPr>
        <w:pStyle w:val="Heading1"/>
        <w:pBdr>
          <w:bottom w:val="single" w:color="1F5FA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4284B"/>
          <w:sz w:val="28"/>
          <w:szCs w:val="28"/>
        </w:rPr>
        <w:t xml:space="preserve">1. Alınan Kararlar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36"/>
              <w:bottom w:val="single" w:color="FFFFFF" w:sz="6"/>
              <w:right w:val="none" w:color="FFFFFF" w:sz="0"/>
            </w:tcBorders>
            <w:shd w:fill="E8F5EC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KARAR  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Denkleştirmede açık kalem yönetimi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kullanılacak.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Ödeme faturayla eşleştirilecek, orijinal fatura açık kalmaya devam edecek; böylece vade bilgisi korunacak.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36"/>
              <w:bottom w:val="single" w:color="FFFFFF" w:sz="6"/>
              <w:right w:val="none" w:color="FFFFFF" w:sz="0"/>
            </w:tcBorders>
            <w:shd w:fill="E8F5EC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KARAR  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Denkleştirme manuel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yapılacak;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tahsilatlar F-28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ile manuel girilecek.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36"/>
              <w:bottom w:val="single" w:color="FFFFFF" w:sz="6"/>
              <w:right w:val="none" w:color="FFFFFF" w:sz="0"/>
            </w:tcBorders>
            <w:shd w:fill="E8F5EC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KARAR  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FBL5N / FBL1N / FBL3N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raporlarına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kümülatif (yürüyen) bakiye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eklenecek (geliştirme).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Müşteri (FI004) ve satıcı (FI006) için ayrı geçen ihtiyacın, ana hesap dahil tek geliştirme olarak ele alınması önerilir.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36"/>
              <w:bottom w:val="single" w:color="FFFFFF" w:sz="6"/>
              <w:right w:val="none" w:color="FFFFFF" w:sz="0"/>
            </w:tcBorders>
            <w:shd w:fill="E8F5EC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KARAR  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Verilen Çekler Programı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için geliştirme (FI005) yapılacak.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36"/>
              <w:bottom w:val="single" w:color="FFFFFF" w:sz="6"/>
              <w:right w:val="none" w:color="FFFFFF" w:sz="0"/>
            </w:tcBorders>
            <w:shd w:fill="E8F5EC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KARAR  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Duran varlıkta geliştirme yok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; standart süreçler kullanılacak.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5FA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4284B"/>
          <w:sz w:val="28"/>
          <w:szCs w:val="28"/>
        </w:rPr>
        <w:t xml:space="preserve">2. Genel Muhasebe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5FAE"/>
          <w:sz w:val="24"/>
          <w:szCs w:val="24"/>
        </w:rPr>
        <w:t xml:space="preserve">2.1 Dönemselleştirme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Mevcut yapıda dönemselleştirme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günlük yöntemle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takip edilmekte,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180 ve 280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hesapları arasındaki yıl sonu ve yıl başı virmanları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manuel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yapılmaktadır.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36"/>
              <w:bottom w:val="single" w:color="FFFFFF" w:sz="6"/>
              <w:right w:val="none" w:color="FFFFFF" w:sz="0"/>
            </w:tcBorders>
            <w:shd w:fill="FBE9E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HATA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Yöntem kararı netleştirilmeli: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günlük hesaplama seçilirse geliştirme (FI003) gerekir; aylık kayıt seçilirse mevcut standart ekran yeterlidir.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Yapılacak her geliştirme hem maliyet yükü, hem de her SAP güncellemesinde test yükü demektir.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Günlük yöntem bir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alışkanlık mı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, yoksa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VUK / IFRS / denetim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açısından bir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zorunluluk mu?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Örnek: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15.03.2026 – 14.03.2027 dönemi için peşin ödenen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12.000 TL sigorta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poliçesi.</w:t>
      </w:r>
    </w:p>
    <w:tbl>
      <w:tblPr>
        <w:tblW w:type="dxa" w:w="9638"/>
        <w:tblBorders>
          <w:top w:val="single" w:color="B8C4D6" w:sz="4"/>
          <w:left w:val="single" w:color="B8C4D6" w:sz="4"/>
          <w:bottom w:val="single" w:color="B8C4D6" w:sz="4"/>
          <w:right w:val="single" w:color="B8C4D6" w:sz="4"/>
          <w:insideH w:val="single" w:color="B8C4D6" w:sz="4"/>
          <w:insideV w:val="single" w:color="B8C4D6" w:sz="4"/>
        </w:tblBorders>
      </w:tblPr>
      <w:tblGrid>
        <w:gridCol w:w="1300"/>
        <w:gridCol w:w="4138"/>
        <w:gridCol w:w="2100"/>
        <w:gridCol w:w="2100"/>
      </w:tblGrid>
      <w:tr>
        <w:tc>
          <w:tcPr>
            <w:tcW w:type="dxa" w:w="1300"/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Yöntem</w:t>
            </w:r>
          </w:p>
        </w:tc>
        <w:tc>
          <w:tcPr>
            <w:tcW w:type="dxa" w:w="4138"/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Hesaplama</w:t>
            </w:r>
          </w:p>
        </w:tc>
        <w:tc>
          <w:tcPr>
            <w:tcW w:type="dxa" w:w="2100"/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Mart 2026 gideri</w:t>
            </w:r>
          </w:p>
        </w:tc>
        <w:tc>
          <w:tcPr>
            <w:tcW w:type="dxa" w:w="2100"/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2026 toplam gider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Günlük</w:t>
            </w:r>
          </w:p>
        </w:tc>
        <w:tc>
          <w:tcPr>
            <w:tcW w:type="dxa" w:w="41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12.000 / 365 = 32,88 TL × aydaki gün sayısı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558,90 TL (17 gün)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9.600 TL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Aylık</w:t>
            </w:r>
          </w:p>
        </w:tc>
        <w:tc>
          <w:tcPr>
            <w:tcW w:type="dxa" w:w="4138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12.000 / 12 = her ay 1.000 TL</w:t>
            </w:r>
          </w:p>
        </w:tc>
        <w:tc>
          <w:tcPr>
            <w:tcW w:type="dxa" w:w="21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1.000 TL</w:t>
            </w:r>
          </w:p>
        </w:tc>
        <w:tc>
          <w:tcPr>
            <w:tcW w:type="dxa" w:w="21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10.000 TL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E" w:sz="36"/>
              <w:bottom w:val="single" w:color="FFFFFF" w:sz="6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FAE"/>
                <w:sz w:val="17"/>
                <w:szCs w:val="17"/>
              </w:rPr>
              <w:t xml:space="preserve">NOT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Yıl sonunda iki yöntem arasında </w:t>
            </w:r>
            <w:r>
              <w:rPr>
                <w:rFonts w:ascii="Calibri" w:cs="Calibri" w:eastAsia="Calibri" w:hAnsi="Calibri"/>
                <w:b/>
                <w:bCs/>
                <w:color w:val="1F5FAE"/>
                <w:sz w:val="21"/>
                <w:szCs w:val="21"/>
              </w:rPr>
              <w:t xml:space="preserve">400 TL fark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oluşur. Fark yalnızca </w:t>
            </w:r>
            <w:r>
              <w:rPr>
                <w:rFonts w:ascii="Calibri" w:cs="Calibri" w:eastAsia="Calibri" w:hAnsi="Calibri"/>
                <w:b/>
                <w:bCs/>
                <w:color w:val="1F5FAE"/>
                <w:sz w:val="21"/>
                <w:szCs w:val="21"/>
              </w:rPr>
              <w:t xml:space="preserve">ay ortasında başlayan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sözleşmelerde çıkar; sözleşmeler </w:t>
            </w:r>
            <w:r>
              <w:rPr>
                <w:rFonts w:ascii="Calibri" w:cs="Calibri" w:eastAsia="Calibri" w:hAnsi="Calibri"/>
                <w:b/>
                <w:bCs/>
                <w:color w:val="1F5FAE"/>
                <w:sz w:val="21"/>
                <w:szCs w:val="21"/>
              </w:rPr>
              <w:t xml:space="preserve">ayın 1'inde başlıyorsa aylık yöntem yeterlidir.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5FAE"/>
          <w:sz w:val="24"/>
          <w:szCs w:val="24"/>
        </w:rPr>
        <w:t xml:space="preserve">2.2 Kur Entegrasyonu ve Hesap Planı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Kur lisansı: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United Group 1S4 scope item lisansını netleştirdi mi? (UGPCP-162) –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canlı geçiş için kritik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Kur aktarımı yapılamazsa ya da hata alınırsa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kullanıcılara mail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gidecek mi?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E" w:sz="36"/>
              <w:bottom w:val="single" w:color="FFFFFF" w:sz="6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FAE"/>
                <w:sz w:val="17"/>
                <w:szCs w:val="17"/>
              </w:rPr>
              <w:t xml:space="preserve">NOT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Günlük kur sisteme kaydedilmemişse </w:t>
            </w:r>
            <w:r>
              <w:rPr>
                <w:rFonts w:ascii="Calibri" w:cs="Calibri" w:eastAsia="Calibri" w:hAnsi="Calibri"/>
                <w:b/>
                <w:bCs/>
                <w:color w:val="1F5FAE"/>
                <w:sz w:val="21"/>
                <w:szCs w:val="21"/>
              </w:rPr>
              <w:t xml:space="preserve">dövizli kayıt girişinde sistem hata vermeli.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E" w:sz="36"/>
              <w:bottom w:val="single" w:color="FFFFFF" w:sz="6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FAE"/>
                <w:sz w:val="17"/>
                <w:szCs w:val="17"/>
              </w:rPr>
              <w:t xml:space="preserve">NOT   </w:t>
            </w:r>
            <w:r>
              <w:rPr>
                <w:rFonts w:ascii="Calibri" w:cs="Calibri" w:eastAsia="Calibri" w:hAnsi="Calibri"/>
                <w:b/>
                <w:bCs/>
                <w:color w:val="1F5FAE"/>
                <w:sz w:val="21"/>
                <w:szCs w:val="21"/>
              </w:rPr>
              <w:t xml:space="preserve">Hesap planı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incelenecek; raporlama için </w:t>
            </w:r>
            <w:r>
              <w:rPr>
                <w:rFonts w:ascii="Calibri" w:cs="Calibri" w:eastAsia="Calibri" w:hAnsi="Calibri"/>
                <w:b/>
                <w:bCs/>
                <w:color w:val="1F5FAE"/>
                <w:sz w:val="21"/>
                <w:szCs w:val="21"/>
              </w:rPr>
              <w:t xml:space="preserve">hesap kırılımları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önemli.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5FA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4284B"/>
          <w:sz w:val="28"/>
          <w:szCs w:val="28"/>
        </w:rPr>
        <w:t xml:space="preserve">3. Dokümanlarda Düzeltilmesi Gereken Hatalar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36"/>
              <w:bottom w:val="single" w:color="FFFFFF" w:sz="6"/>
              <w:right w:val="none" w:color="FFFFFF" w:sz="0"/>
            </w:tcBorders>
            <w:shd w:fill="FBE9E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HATA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Kur farkı tablosu (J58):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yaklaşık 25 hesapta, değerleme sonucu oluşan kur geliri için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gider hesabı (6560201004)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tanımlanmış.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36"/>
              <w:bottom w:val="single" w:color="FFFFFF" w:sz="6"/>
              <w:right w:val="none" w:color="FFFFFF" w:sz="0"/>
            </w:tcBorders>
            <w:shd w:fill="FBE9E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HATA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Mutabakat hesapları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J58 ile J59/J60'ta farklı anlamlarda kullanılmış (ör. 1200102, 3200201, 3200301).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36"/>
              <w:bottom w:val="single" w:color="FFFFFF" w:sz="6"/>
              <w:right w:val="none" w:color="FFFFFF" w:sz="0"/>
            </w:tcBorders>
            <w:shd w:fill="FBE9E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HATA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IFRS defteri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J58'de "IF", J62'de "2L" olarak geçiyor.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36"/>
              <w:bottom w:val="single" w:color="FFFFFF" w:sz="6"/>
              <w:right w:val="none" w:color="FFFFFF" w:sz="0"/>
            </w:tcBorders>
            <w:shd w:fill="FBE9E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HATA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KKEG çelişkisi: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duran varlık dokümanı binek araçta KKEG uygulanmadığını söylüyor; genel muhasebe ve satıcı dokümanları KKEG geliştirmesi istiyor.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36"/>
              <w:bottom w:val="single" w:color="FFFFFF" w:sz="6"/>
              <w:right w:val="none" w:color="FFFFFF" w:sz="0"/>
            </w:tcBorders>
            <w:shd w:fill="FBE9E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HATA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Personel carileri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195 hesabına bağlanmış, personel hesap grubu tanımlanmamış.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Öneri: 335 ana mutabakat hesabı, 195 ÖDK olarak kullanılsın.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36"/>
              <w:bottom w:val="single" w:color="FFFFFF" w:sz="6"/>
              <w:right w:val="none" w:color="FFFFFF" w:sz="0"/>
            </w:tcBorders>
            <w:shd w:fill="FBE9E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HATA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Kasa: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"Tedarikçi Ödemesi" işlem tipi giriş değil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çıkış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olmalı.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Senet portföyü: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S002 kodu iki kez kullanılmış.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5FA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4284B"/>
          <w:sz w:val="28"/>
          <w:szCs w:val="28"/>
        </w:rPr>
        <w:t xml:space="preserve">4. Sorulacak ve Açık Konular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EBA personel masraf entegrasyonu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ne durumda? (UGPCP-190)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Delta bordro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entegrasyonu netleşti mi? (UGPCP-191)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Boyraz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satış faturalarında plaka ve PO/TA bilgileri hangi alanlarda tutulacak? (UGPCP-240)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Tevkifat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hizmet türleri listesi (UGPCP-167) ve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peşinat onaycıları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(UGPCP-170) ne zaman paylaşılacak?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Tedarikçi ödemeleri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SAP'den mi, E-Çözümler'den mi yapılacak? Mare kapatılacak mı?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Sipariş ilişkisi olmayan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satıcı faturaları nerede onaylanacak?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IFRS düzeltmeleri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ve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enflasyon muhasebesi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nasıl yapılacak?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Hakediş / yıllara yaygın inşaat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muhasebesi ve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konsolidasyon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hiçbir dokümanda ele alınmamış.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5FA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4284B"/>
          <w:sz w:val="28"/>
          <w:szCs w:val="28"/>
        </w:rPr>
        <w:t xml:space="preserve">5. CO Notları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36"/>
              <w:bottom w:val="single" w:color="FFFFFF" w:sz="6"/>
              <w:right w:val="none" w:color="FFFFFF" w:sz="0"/>
            </w:tcBorders>
            <w:shd w:fill="E8F5EC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KARAR  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Genel gider muhasebesi: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masraf yeri yapısı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departmanlara göre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kurgulanacak.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36"/>
              <w:bottom w:val="single" w:color="FFFFFF" w:sz="6"/>
              <w:right w:val="none" w:color="FFFFFF" w:sz="0"/>
            </w:tcBorders>
            <w:shd w:fill="E8F5EC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KARAR  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Masraf yeri ve kâr merkezi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yapıları paralel ilerleyecek.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E" w:sz="36"/>
              <w:bottom w:val="single" w:color="FFFFFF" w:sz="6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color w:val="1F5FAE"/>
                <w:sz w:val="17"/>
                <w:szCs w:val="17"/>
              </w:rPr>
              <w:t xml:space="preserve">NOT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CO'da </w:t>
            </w:r>
            <w:r>
              <w:rPr>
                <w:rFonts w:ascii="Calibri" w:cs="Calibri" w:eastAsia="Calibri" w:hAnsi="Calibri"/>
                <w:b/>
                <w:bCs/>
                <w:color w:val="1F5FAE"/>
                <w:sz w:val="21"/>
                <w:szCs w:val="21"/>
              </w:rPr>
              <w:t xml:space="preserve">doğrulama ve ikame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kuralları kullanılacak.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Doğrulamalar 7'li hesaplarda standart kontrolleri kapsayacak; ör. 7'li gider hesabına masraf yeri girilmeden kayıt atılamayacak.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35400" w:sz="36"/>
              <w:bottom w:val="single" w:color="FFFFFF" w:sz="6"/>
              <w:right w:val="none" w:color="FFFFFF" w:sz="0"/>
            </w:tcBorders>
            <w:shd w:fill="FEF1E6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7"/>
                <w:szCs w:val="17"/>
              </w:rPr>
              <w:t xml:space="preserve">SORU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 dokümanının </w:t>
            </w: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6. sayfasındaki istatistiksel gösterge tablosu boş?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5FA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4284B"/>
          <w:sz w:val="28"/>
          <w:szCs w:val="28"/>
        </w:rPr>
        <w:t xml:space="preserve">6. Öneriler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D3C98" w:sz="36"/>
              <w:bottom w:val="single" w:color="FFFFFF" w:sz="6"/>
              <w:right w:val="none" w:color="FFFFFF" w:sz="0"/>
            </w:tcBorders>
            <w:shd w:fill="F3EBF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17"/>
                <w:szCs w:val="17"/>
              </w:rPr>
              <w:t xml:space="preserve">ÖNERİ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Tek bir </w:t>
            </w: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hesap planı / mutabakat hesabı / defter eşleme tablosu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oluşturulmalı; tüm dokümanlar bu tabloya referans vermeli.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D3C98" w:sz="36"/>
              <w:bottom w:val="single" w:color="FFFFFF" w:sz="6"/>
              <w:right w:val="none" w:color="FFFFFF" w:sz="0"/>
            </w:tcBorders>
            <w:shd w:fill="F3EBF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17"/>
                <w:szCs w:val="17"/>
              </w:rPr>
              <w:t xml:space="preserve">ÖNERİ   </w:t>
            </w: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Ödeme önerisi SAP'de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oluşturulmalı, </w:t>
            </w: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banka iletimi E-Çözümler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üzerinden yapılmalı; böylece denkleştirme otomatik gerçekleşir.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D3C98" w:sz="36"/>
              <w:bottom w:val="single" w:color="FFFFFF" w:sz="6"/>
              <w:right w:val="none" w:color="FFFFFF" w:sz="0"/>
            </w:tcBorders>
            <w:shd w:fill="F3EBF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17"/>
                <w:szCs w:val="17"/>
              </w:rPr>
              <w:t xml:space="preserve">ÖNERİ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Sipariş ilişkisi olmayan faturalar için </w:t>
            </w: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SAP standart onay akışı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kurulmalı; </w:t>
            </w: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banka bilgisi değişikliklerinde çift kontrol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açılmalı.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D3C98" w:sz="36"/>
              <w:bottom w:val="single" w:color="FFFFFF" w:sz="6"/>
              <w:right w:val="none" w:color="FFFFFF" w:sz="0"/>
            </w:tcBorders>
            <w:shd w:fill="F3EBF7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17"/>
                <w:szCs w:val="17"/>
              </w:rPr>
              <w:t xml:space="preserve">ÖNERİ 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Excel'den FI belgesi geliştirmesi (FI008) yerine standart </w:t>
            </w: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"Genel Yevmiye Kayıtlarını Yükle"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uygulaması kullanılmalı.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United Group – FI Kavramsal Tasarım Notları   |   Sayfa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Group FI Kavramsal Tasarım Değerlendirme Notları</dc:title>
  <dc:creator>SAP FI Danışmanlık</dc:creator>
  <cp:lastModifiedBy>Un-named</cp:lastModifiedBy>
  <cp:revision>1</cp:revision>
  <dcterms:created xsi:type="dcterms:W3CDTF">2026-10-07T10:49:53.639Z</dcterms:created>
  <dcterms:modified xsi:type="dcterms:W3CDTF">2026-10-07T10:49:53.640Z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