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B3A5C"/>
          <w:sz w:val="56"/>
        </w:rPr>
        <w:t>Meridian Enterprise AI Platform</w:t>
      </w:r>
    </w:p>
    <w:p>
      <w:pPr>
        <w:jc w:val="center"/>
      </w:pPr>
      <w:r>
        <w:rPr>
          <w:color w:val="2E75B6"/>
          <w:sz w:val="36"/>
        </w:rPr>
        <w:t>Architectural Review &amp; Recommendations</w:t>
      </w:r>
    </w:p>
    <w:p/>
    <w:p>
      <w:pPr>
        <w:jc w:val="center"/>
      </w:pPr>
      <w:r>
        <w:rPr>
          <w:sz w:val="24"/>
        </w:rPr>
        <w:t>Separation of Concerns • Testability • Security • Observability</w:t>
      </w:r>
    </w:p>
    <w:p/>
    <w:p>
      <w:pPr>
        <w:jc w:val="center"/>
      </w:pPr>
      <w:r>
        <w:rPr>
          <w:color w:val="666666"/>
          <w:sz w:val="24"/>
        </w:rPr>
        <w:t>March 21, 2026</w:t>
      </w:r>
    </w:p>
    <w:p/>
    <w:p/>
    <w:p/>
    <w:p>
      <w:pPr>
        <w:jc w:val="center"/>
      </w:pPr>
      <w:r>
        <w:rPr>
          <w:i/>
          <w:color w:val="666666"/>
          <w:sz w:val="22"/>
        </w:rPr>
        <w:t>Quality Factors: Robustness • Recoverability • Self-Healing • Maintainability</w:t>
      </w:r>
    </w:p>
    <w:p>
      <w:r>
        <w:br w:type="page"/>
      </w:r>
    </w:p>
    <w:p>
      <w:pPr>
        <w:pStyle w:val="Heading1"/>
      </w:pPr>
      <w:r>
        <w:t>Table of Contents</w:t>
      </w:r>
    </w:p>
    <w:p>
      <w:pPr>
        <w:spacing w:after="80"/>
      </w:pPr>
      <w:r>
        <w:rPr>
          <w:sz w:val="22"/>
        </w:rPr>
        <w:t>1. Executive Summary</w:t>
      </w:r>
    </w:p>
    <w:p>
      <w:pPr>
        <w:spacing w:after="80"/>
      </w:pPr>
      <w:r>
        <w:rPr>
          <w:sz w:val="22"/>
        </w:rPr>
        <w:t>2. Current Architecture Assessment</w:t>
      </w:r>
    </w:p>
    <w:p>
      <w:pPr>
        <w:spacing w:after="80"/>
      </w:pPr>
      <w:r>
        <w:rPr>
          <w:sz w:val="22"/>
        </w:rPr>
        <w:t>3. Separation of Concerns Analysis</w:t>
      </w:r>
    </w:p>
    <w:p>
      <w:pPr>
        <w:spacing w:after="80"/>
      </w:pPr>
      <w:r>
        <w:rPr>
          <w:sz w:val="22"/>
        </w:rPr>
        <w:t>4. Testability Review</w:t>
      </w:r>
    </w:p>
    <w:p>
      <w:pPr>
        <w:spacing w:after="80"/>
      </w:pPr>
      <w:r>
        <w:rPr>
          <w:sz w:val="22"/>
        </w:rPr>
        <w:t>5. Security-First Analysis</w:t>
      </w:r>
    </w:p>
    <w:p>
      <w:pPr>
        <w:spacing w:after="80"/>
      </w:pPr>
      <w:r>
        <w:rPr>
          <w:sz w:val="22"/>
        </w:rPr>
        <w:t>6. Observability Assessment</w:t>
      </w:r>
    </w:p>
    <w:p>
      <w:pPr>
        <w:spacing w:after="80"/>
      </w:pPr>
      <w:r>
        <w:rPr>
          <w:sz w:val="22"/>
        </w:rPr>
        <w:t>7. Robustness &amp; Recoverability</w:t>
      </w:r>
    </w:p>
    <w:p>
      <w:pPr>
        <w:spacing w:after="80"/>
      </w:pPr>
      <w:r>
        <w:rPr>
          <w:sz w:val="22"/>
        </w:rPr>
        <w:t>8. Integration Readiness</w:t>
      </w:r>
    </w:p>
    <w:p>
      <w:pPr>
        <w:spacing w:after="80"/>
      </w:pPr>
      <w:r>
        <w:rPr>
          <w:sz w:val="22"/>
        </w:rPr>
        <w:t>9. Detailed Findings &amp; Recommendations</w:t>
      </w:r>
    </w:p>
    <w:p>
      <w:pPr>
        <w:spacing w:after="80"/>
      </w:pPr>
      <w:r>
        <w:rPr>
          <w:sz w:val="22"/>
        </w:rPr>
        <w:t>10. Implementation Roadmap</w:t>
      </w:r>
    </w:p>
    <w:p>
      <w:pPr>
        <w:spacing w:after="80"/>
      </w:pPr>
      <w:r>
        <w:rPr>
          <w:sz w:val="22"/>
        </w:rPr>
        <w:t>11. Appendix: Component Inventory</w:t>
      </w:r>
    </w:p>
    <w:p>
      <w:r>
        <w:br w:type="page"/>
      </w:r>
    </w:p>
    <w:p>
      <w:pPr>
        <w:pStyle w:val="Heading1"/>
      </w:pPr>
      <w:r>
        <w:t>1. Executive Summary</w:t>
      </w:r>
    </w:p>
    <w:p>
      <w:r>
        <w:t>This document presents a comprehensive architectural review of the Meridian Enterprise AI Platform, a multi-agent system built on LangGraph, FastAPI, and the Model Context Protocol (MCP). The platform serves financial services use cases including relationship manager briefing (RM Prep), portfolio surveillance (Portfolio Watch), and general-purpose SQL-backed chat.</w:t>
      </w:r>
    </w:p>
    <w:p>
      <w:r>
        <w:t>The review evaluates the codebase against six quality dimensions: separation of concerns, testability, security posture, observability, robustness/recoverability, and maintainability. The platform demonstrates strong foundations in several areas—particularly its defense-in-depth authorization chain, structured logging, and fail-closed OPA integration—while revealing improvement opportunities in interface abstraction, test isolation, configuration validation, and self-healing capabilities.</w:t>
      </w:r>
    </w:p>
    <w:p>
      <w:pPr>
        <w:pStyle w:val="Heading2"/>
      </w:pPr>
      <w:r>
        <w:t>Assessment Summary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448"/>
          </w:tcPr>
          <w:p>
            <w:pPr/>
            <w:r>
              <w:rPr>
                <w:b/>
                <w:sz w:val="20"/>
              </w:rPr>
              <w:t>Quality Dimension</w:t>
            </w:r>
          </w:p>
        </w:tc>
        <w:tc>
          <w:tcPr>
            <w:tcW w:type="dxa" w:w="1440"/>
          </w:tcPr>
          <w:p>
            <w:pPr/>
            <w:r>
              <w:rPr>
                <w:b/>
                <w:sz w:val="20"/>
              </w:rPr>
              <w:t>Current Maturity</w:t>
            </w:r>
          </w:p>
        </w:tc>
        <w:tc>
          <w:tcPr>
            <w:tcW w:type="dxa" w:w="1440"/>
          </w:tcPr>
          <w:p>
            <w:pPr/>
            <w:r>
              <w:rPr>
                <w:b/>
                <w:sz w:val="20"/>
              </w:rPr>
              <w:t>Target Maturity</w:t>
            </w:r>
          </w:p>
        </w:tc>
        <w:tc>
          <w:tcPr>
            <w:tcW w:type="dxa" w:w="4032"/>
          </w:tcPr>
          <w:p>
            <w:pPr/>
            <w:r>
              <w:rPr>
                <w:b/>
                <w:sz w:val="20"/>
              </w:rPr>
              <w:t>Key Gap</w:t>
            </w:r>
          </w:p>
        </w:tc>
      </w:tr>
      <w:tr>
        <w:tc>
          <w:tcPr>
            <w:tcW w:type="dxa" w:w="2448"/>
          </w:tcPr>
          <w:p>
            <w:pPr/>
            <w:r>
              <w:rPr>
                <w:sz w:val="20"/>
              </w:rPr>
              <w:t>Separation of Concerns</w:t>
            </w:r>
          </w:p>
        </w:tc>
        <w:tc>
          <w:tcPr>
            <w:tcW w:type="dxa" w:w="1440"/>
          </w:tcPr>
          <w:p>
            <w:pPr/>
            <w:r>
              <w:rPr>
                <w:sz w:val="20"/>
              </w:rPr>
              <w:t>Medium</w:t>
            </w:r>
          </w:p>
        </w:tc>
        <w:tc>
          <w:tcPr>
            <w:tcW w:type="dxa" w:w="1440"/>
          </w:tcPr>
          <w:p>
            <w:pPr/>
            <w:r>
              <w:rPr>
                <w:sz w:val="20"/>
              </w:rPr>
              <w:t>High</w:t>
            </w:r>
          </w:p>
        </w:tc>
        <w:tc>
          <w:tcPr>
            <w:tcW w:type="dxa" w:w="4032"/>
          </w:tcPr>
          <w:p>
            <w:pPr/>
            <w:r>
              <w:rPr>
                <w:sz w:val="20"/>
              </w:rPr>
              <w:t>MCP servers duplicate boilerplate; business logic mixed with infrastructure in orchestrators</w:t>
            </w:r>
          </w:p>
        </w:tc>
      </w:tr>
      <w:tr>
        <w:tc>
          <w:tcPr>
            <w:tcW w:type="dxa" w:w="2448"/>
          </w:tcPr>
          <w:p>
            <w:pPr/>
            <w:r>
              <w:rPr>
                <w:sz w:val="20"/>
              </w:rPr>
              <w:t>Testability</w:t>
            </w:r>
          </w:p>
        </w:tc>
        <w:tc>
          <w:tcPr>
            <w:tcW w:type="dxa" w:w="1440"/>
          </w:tcPr>
          <w:p>
            <w:pPr/>
            <w:r>
              <w:rPr>
                <w:sz w:val="20"/>
              </w:rPr>
              <w:t>Medium-High</w:t>
            </w:r>
          </w:p>
        </w:tc>
        <w:tc>
          <w:tcPr>
            <w:tcW w:type="dxa" w:w="1440"/>
          </w:tcPr>
          <w:p>
            <w:pPr/>
            <w:r>
              <w:rPr>
                <w:sz w:val="20"/>
              </w:rPr>
              <w:t>High</w:t>
            </w:r>
          </w:p>
        </w:tc>
        <w:tc>
          <w:tcPr>
            <w:tcW w:type="dxa" w:w="4032"/>
          </w:tcPr>
          <w:p>
            <w:pPr/>
            <w:r>
              <w:rPr>
                <w:sz w:val="20"/>
              </w:rPr>
              <w:t>Unit tests strong; graph-level testing requires full mock stack; no contract tests</w:t>
            </w:r>
          </w:p>
        </w:tc>
      </w:tr>
      <w:tr>
        <w:tc>
          <w:tcPr>
            <w:tcW w:type="dxa" w:w="2448"/>
          </w:tcPr>
          <w:p>
            <w:pPr/>
            <w:r>
              <w:rPr>
                <w:sz w:val="20"/>
              </w:rPr>
              <w:t>Security</w:t>
            </w:r>
          </w:p>
        </w:tc>
        <w:tc>
          <w:tcPr>
            <w:tcW w:type="dxa" w:w="1440"/>
          </w:tcPr>
          <w:p>
            <w:pPr/>
            <w:r>
              <w:rPr>
                <w:sz w:val="20"/>
              </w:rPr>
              <w:t>High</w:t>
            </w:r>
          </w:p>
        </w:tc>
        <w:tc>
          <w:tcPr>
            <w:tcW w:type="dxa" w:w="1440"/>
          </w:tcPr>
          <w:p>
            <w:pPr/>
            <w:r>
              <w:rPr>
                <w:sz w:val="20"/>
              </w:rPr>
              <w:t>Very High</w:t>
            </w:r>
          </w:p>
        </w:tc>
        <w:tc>
          <w:tcPr>
            <w:tcW w:type="dxa" w:w="4032"/>
          </w:tcPr>
          <w:p>
            <w:pPr/>
            <w:r>
              <w:rPr>
                <w:sz w:val="20"/>
              </w:rPr>
              <w:t>Defense-in-depth auth chain solid; missing clearance inversion guard, secret rotation, image scanning</w:t>
            </w:r>
          </w:p>
        </w:tc>
      </w:tr>
      <w:tr>
        <w:tc>
          <w:tcPr>
            <w:tcW w:type="dxa" w:w="2448"/>
          </w:tcPr>
          <w:p>
            <w:pPr/>
            <w:r>
              <w:rPr>
                <w:sz w:val="20"/>
              </w:rPr>
              <w:t>Observability</w:t>
            </w:r>
          </w:p>
        </w:tc>
        <w:tc>
          <w:tcPr>
            <w:tcW w:type="dxa" w:w="1440"/>
          </w:tcPr>
          <w:p>
            <w:pPr/>
            <w:r>
              <w:rPr>
                <w:sz w:val="20"/>
              </w:rPr>
              <w:t>Medium</w:t>
            </w:r>
          </w:p>
        </w:tc>
        <w:tc>
          <w:tcPr>
            <w:tcW w:type="dxa" w:w="1440"/>
          </w:tcPr>
          <w:p>
            <w:pPr/>
            <w:r>
              <w:rPr>
                <w:sz w:val="20"/>
              </w:rPr>
              <w:t>High</w:t>
            </w:r>
          </w:p>
        </w:tc>
        <w:tc>
          <w:tcPr>
            <w:tcW w:type="dxa" w:w="4032"/>
          </w:tcPr>
          <w:p>
            <w:pPr/>
            <w:r>
              <w:rPr>
                <w:sz w:val="20"/>
              </w:rPr>
              <w:t>Structured logging excellent; circuit breaker metrics absent; no SLO dashboards</w:t>
            </w:r>
          </w:p>
        </w:tc>
      </w:tr>
      <w:tr>
        <w:tc>
          <w:tcPr>
            <w:tcW w:type="dxa" w:w="2448"/>
          </w:tcPr>
          <w:p>
            <w:pPr/>
            <w:r>
              <w:rPr>
                <w:sz w:val="20"/>
              </w:rPr>
              <w:t>Robustness / Recoverability</w:t>
            </w:r>
          </w:p>
        </w:tc>
        <w:tc>
          <w:tcPr>
            <w:tcW w:type="dxa" w:w="1440"/>
          </w:tcPr>
          <w:p>
            <w:pPr/>
            <w:r>
              <w:rPr>
                <w:sz w:val="20"/>
              </w:rPr>
              <w:t>Medium</w:t>
            </w:r>
          </w:p>
        </w:tc>
        <w:tc>
          <w:tcPr>
            <w:tcW w:type="dxa" w:w="1440"/>
          </w:tcPr>
          <w:p>
            <w:pPr/>
            <w:r>
              <w:rPr>
                <w:sz w:val="20"/>
              </w:rPr>
              <w:t>High</w:t>
            </w:r>
          </w:p>
        </w:tc>
        <w:tc>
          <w:tcPr>
            <w:tcW w:type="dxa" w:w="4032"/>
          </w:tcPr>
          <w:p>
            <w:pPr/>
            <w:r>
              <w:rPr>
                <w:sz w:val="20"/>
              </w:rPr>
              <w:t>Graceful degradation in cache/news; MCP bridge all-or-nothing startup; no dead-letter or retry queues</w:t>
            </w:r>
          </w:p>
        </w:tc>
      </w:tr>
      <w:tr>
        <w:tc>
          <w:tcPr>
            <w:tcW w:type="dxa" w:w="2448"/>
          </w:tcPr>
          <w:p>
            <w:pPr/>
            <w:r>
              <w:rPr>
                <w:sz w:val="20"/>
              </w:rPr>
              <w:t>Maintainability</w:t>
            </w:r>
          </w:p>
        </w:tc>
        <w:tc>
          <w:tcPr>
            <w:tcW w:type="dxa" w:w="1440"/>
          </w:tcPr>
          <w:p>
            <w:pPr/>
            <w:r>
              <w:rPr>
                <w:sz w:val="20"/>
              </w:rPr>
              <w:t>Medium</w:t>
            </w:r>
          </w:p>
        </w:tc>
        <w:tc>
          <w:tcPr>
            <w:tcW w:type="dxa" w:w="1440"/>
          </w:tcPr>
          <w:p>
            <w:pPr/>
            <w:r>
              <w:rPr>
                <w:sz w:val="20"/>
              </w:rPr>
              <w:t>High</w:t>
            </w:r>
          </w:p>
        </w:tc>
        <w:tc>
          <w:tcPr>
            <w:tcW w:type="dxa" w:w="4032"/>
          </w:tcPr>
          <w:p>
            <w:pPr/>
            <w:r>
              <w:rPr>
                <w:sz w:val="20"/>
              </w:rPr>
              <w:t>Good SDK extraction; hardcoded magic values; no schema versioning; implicit contracts between services</w:t>
            </w:r>
          </w:p>
        </w:tc>
      </w:tr>
    </w:tbl>
    <w:p/>
    <w:p>
      <w:r>
        <w:t>The review identifies 32 specific findings across 4 severity levels (5 Critical, 10 High, 12 Medium, 5 Low) and provides an implementation roadmap organized into three phases spanning 12 weeks.</w:t>
      </w:r>
    </w:p>
    <w:p>
      <w:r>
        <w:br w:type="page"/>
      </w:r>
    </w:p>
    <w:p>
      <w:pPr>
        <w:pStyle w:val="Heading1"/>
      </w:pPr>
      <w:r>
        <w:t>2. Current Architecture Assessment</w:t>
      </w:r>
    </w:p>
    <w:p>
      <w:pPr>
        <w:pStyle w:val="Heading2"/>
      </w:pPr>
      <w:r>
        <w:t>2.1 System Topology</w:t>
      </w:r>
    </w:p>
    <w:p>
      <w:r>
        <w:t>The platform follows a layered architecture with clear separation between user interfaces (React, Chainlit), agent orchestrators (LangGraph StateGraph), MCP tool servers (FastMCP over SSE), and cross-cutting infrastructure (LiteLLM proxy, OPA policy engine, PostgreSQL, Redis, OpenTelemetry). The design enforces a critical invariant: agents never access databases directly; all data access routes through MCP tool servers where authorization, caching, and auditing are centralized.</w:t>
      </w:r>
    </w:p>
    <w:p>
      <w:pPr>
        <w:pStyle w:val="Heading2"/>
      </w:pPr>
      <w:r>
        <w:t>2.2 Component Inventory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440"/>
          </w:tcPr>
          <w:p>
            <w:pPr/>
            <w:r>
              <w:rPr>
                <w:b/>
                <w:sz w:val="20"/>
              </w:rPr>
              <w:t>Layer</w:t>
            </w:r>
          </w:p>
        </w:tc>
        <w:tc>
          <w:tcPr>
            <w:tcW w:type="dxa" w:w="2160"/>
          </w:tcPr>
          <w:p>
            <w:pPr/>
            <w:r>
              <w:rPr>
                <w:b/>
                <w:sz w:val="20"/>
              </w:rPr>
              <w:t>Component</w:t>
            </w:r>
          </w:p>
        </w:tc>
        <w:tc>
          <w:tcPr>
            <w:tcW w:type="dxa" w:w="1872"/>
          </w:tcPr>
          <w:p>
            <w:pPr/>
            <w:r>
              <w:rPr>
                <w:b/>
                <w:sz w:val="20"/>
              </w:rPr>
              <w:t>Technology</w:t>
            </w:r>
          </w:p>
        </w:tc>
        <w:tc>
          <w:tcPr>
            <w:tcW w:type="dxa" w:w="3888"/>
          </w:tcPr>
          <w:p>
            <w:pPr/>
            <w:r>
              <w:rPr>
                <w:b/>
                <w:sz w:val="20"/>
              </w:rPr>
              <w:t>Pattern</w:t>
            </w:r>
          </w:p>
        </w:tc>
      </w:tr>
      <w:tr>
        <w:tc>
          <w:tcPr>
            <w:tcW w:type="dxa" w:w="1440"/>
          </w:tcPr>
          <w:p>
            <w:pPr/>
            <w:r>
              <w:rPr>
                <w:sz w:val="20"/>
              </w:rPr>
              <w:t>Frontend</w:t>
            </w:r>
          </w:p>
        </w:tc>
        <w:tc>
          <w:tcPr>
            <w:tcW w:type="dxa" w:w="2160"/>
          </w:tcPr>
          <w:p>
            <w:pPr/>
            <w:r>
              <w:rPr>
                <w:sz w:val="20"/>
              </w:rPr>
              <w:t>Agent UI</w:t>
            </w:r>
          </w:p>
        </w:tc>
        <w:tc>
          <w:tcPr>
            <w:tcW w:type="dxa" w:w="1872"/>
          </w:tcPr>
          <w:p>
            <w:pPr/>
            <w:r>
              <w:rPr>
                <w:sz w:val="20"/>
              </w:rPr>
              <w:t>React</w:t>
            </w:r>
          </w:p>
        </w:tc>
        <w:tc>
          <w:tcPr>
            <w:tcW w:type="dxa" w:w="3888"/>
          </w:tcPr>
          <w:p>
            <w:pPr/>
            <w:r>
              <w:rPr>
                <w:sz w:val="20"/>
              </w:rPr>
              <w:t>SPA with session management</w:t>
            </w:r>
          </w:p>
        </w:tc>
      </w:tr>
      <w:tr>
        <w:tc>
          <w:tcPr>
            <w:tcW w:type="dxa" w:w="1440"/>
          </w:tcPr>
          <w:p>
            <w:pPr/>
            <w:r>
              <w:rPr>
                <w:sz w:val="20"/>
              </w:rPr>
              <w:t>Frontend</w:t>
            </w:r>
          </w:p>
        </w:tc>
        <w:tc>
          <w:tcPr>
            <w:tcW w:type="dxa" w:w="2160"/>
          </w:tcPr>
          <w:p>
            <w:pPr/>
            <w:r>
              <w:rPr>
                <w:sz w:val="20"/>
              </w:rPr>
              <w:t>Chat UI</w:t>
            </w:r>
          </w:p>
        </w:tc>
        <w:tc>
          <w:tcPr>
            <w:tcW w:type="dxa" w:w="1872"/>
          </w:tcPr>
          <w:p>
            <w:pPr/>
            <w:r>
              <w:rPr>
                <w:sz w:val="20"/>
              </w:rPr>
              <w:t>Chainlit</w:t>
            </w:r>
          </w:p>
        </w:tc>
        <w:tc>
          <w:tcPr>
            <w:tcW w:type="dxa" w:w="3888"/>
          </w:tcPr>
          <w:p>
            <w:pPr/>
            <w:r>
              <w:rPr>
                <w:sz w:val="20"/>
              </w:rPr>
              <w:t>Conversational interface</w:t>
            </w:r>
          </w:p>
        </w:tc>
      </w:tr>
      <w:tr>
        <w:tc>
          <w:tcPr>
            <w:tcW w:type="dxa" w:w="1440"/>
          </w:tcPr>
          <w:p>
            <w:pPr/>
            <w:r>
              <w:rPr>
                <w:sz w:val="20"/>
              </w:rPr>
              <w:t>Orchestrator</w:t>
            </w:r>
          </w:p>
        </w:tc>
        <w:tc>
          <w:tcPr>
            <w:tcW w:type="dxa" w:w="2160"/>
          </w:tcPr>
          <w:p>
            <w:pPr/>
            <w:r>
              <w:rPr>
                <w:sz w:val="20"/>
              </w:rPr>
              <w:t>Enterprise Agent</w:t>
            </w:r>
          </w:p>
        </w:tc>
        <w:tc>
          <w:tcPr>
            <w:tcW w:type="dxa" w:w="1872"/>
          </w:tcPr>
          <w:p>
            <w:pPr/>
            <w:r>
              <w:rPr>
                <w:sz w:val="20"/>
              </w:rPr>
              <w:t>LangGraph ReAct</w:t>
            </w:r>
          </w:p>
        </w:tc>
        <w:tc>
          <w:tcPr>
            <w:tcW w:type="dxa" w:w="3888"/>
          </w:tcPr>
          <w:p>
            <w:pPr/>
            <w:r>
              <w:rPr>
                <w:sz w:val="20"/>
              </w:rPr>
              <w:t>Tool-calling loop with compaction</w:t>
            </w:r>
          </w:p>
        </w:tc>
      </w:tr>
      <w:tr>
        <w:tc>
          <w:tcPr>
            <w:tcW w:type="dxa" w:w="1440"/>
          </w:tcPr>
          <w:p>
            <w:pPr/>
            <w:r>
              <w:rPr>
                <w:sz w:val="20"/>
              </w:rPr>
              <w:t>Orchestrator</w:t>
            </w:r>
          </w:p>
        </w:tc>
        <w:tc>
          <w:tcPr>
            <w:tcW w:type="dxa" w:w="2160"/>
          </w:tcPr>
          <w:p>
            <w:pPr/>
            <w:r>
              <w:rPr>
                <w:sz w:val="20"/>
              </w:rPr>
              <w:t>RM Prep Agent</w:t>
            </w:r>
          </w:p>
        </w:tc>
        <w:tc>
          <w:tcPr>
            <w:tcW w:type="dxa" w:w="1872"/>
          </w:tcPr>
          <w:p>
            <w:pPr/>
            <w:r>
              <w:rPr>
                <w:sz w:val="20"/>
              </w:rPr>
              <w:t>LangGraph StateGraph</w:t>
            </w:r>
          </w:p>
        </w:tc>
        <w:tc>
          <w:tcPr>
            <w:tcW w:type="dxa" w:w="3888"/>
          </w:tcPr>
          <w:p>
            <w:pPr/>
            <w:r>
              <w:rPr>
                <w:sz w:val="20"/>
              </w:rPr>
              <w:t>Parallel specialists + synthesis</w:t>
            </w:r>
          </w:p>
        </w:tc>
      </w:tr>
      <w:tr>
        <w:tc>
          <w:tcPr>
            <w:tcW w:type="dxa" w:w="1440"/>
          </w:tcPr>
          <w:p>
            <w:pPr/>
            <w:r>
              <w:rPr>
                <w:sz w:val="20"/>
              </w:rPr>
              <w:t>Orchestrator</w:t>
            </w:r>
          </w:p>
        </w:tc>
        <w:tc>
          <w:tcPr>
            <w:tcW w:type="dxa" w:w="2160"/>
          </w:tcPr>
          <w:p>
            <w:pPr/>
            <w:r>
              <w:rPr>
                <w:sz w:val="20"/>
              </w:rPr>
              <w:t>Portfolio Watch</w:t>
            </w:r>
          </w:p>
        </w:tc>
        <w:tc>
          <w:tcPr>
            <w:tcW w:type="dxa" w:w="1872"/>
          </w:tcPr>
          <w:p>
            <w:pPr/>
            <w:r>
              <w:rPr>
                <w:sz w:val="20"/>
              </w:rPr>
              <w:t>LangGraph StateGraph</w:t>
            </w:r>
          </w:p>
        </w:tc>
        <w:tc>
          <w:tcPr>
            <w:tcW w:type="dxa" w:w="3888"/>
          </w:tcPr>
          <w:p>
            <w:pPr/>
            <w:r>
              <w:rPr>
                <w:sz w:val="20"/>
              </w:rPr>
              <w:t>Generator-Evaluator with retry loop</w:t>
            </w:r>
          </w:p>
        </w:tc>
      </w:tr>
      <w:tr>
        <w:tc>
          <w:tcPr>
            <w:tcW w:type="dxa" w:w="1440"/>
          </w:tcPr>
          <w:p>
            <w:pPr/>
            <w:r>
              <w:rPr>
                <w:sz w:val="20"/>
              </w:rPr>
              <w:t>Tool Server</w:t>
            </w:r>
          </w:p>
        </w:tc>
        <w:tc>
          <w:tcPr>
            <w:tcW w:type="dxa" w:w="2160"/>
          </w:tcPr>
          <w:p>
            <w:pPr/>
            <w:r>
              <w:rPr>
                <w:sz w:val="20"/>
              </w:rPr>
              <w:t>Data MCP</w:t>
            </w:r>
          </w:p>
        </w:tc>
        <w:tc>
          <w:tcPr>
            <w:tcW w:type="dxa" w:w="1872"/>
          </w:tcPr>
          <w:p>
            <w:pPr/>
            <w:r>
              <w:rPr>
                <w:sz w:val="20"/>
              </w:rPr>
              <w:t>FastMCP + asyncpg</w:t>
            </w:r>
          </w:p>
        </w:tc>
        <w:tc>
          <w:tcPr>
            <w:tcW w:type="dxa" w:w="3888"/>
          </w:tcPr>
          <w:p>
            <w:pPr/>
            <w:r>
              <w:rPr>
                <w:sz w:val="20"/>
              </w:rPr>
              <w:t>SQL execution with OPA + row filters</w:t>
            </w:r>
          </w:p>
        </w:tc>
      </w:tr>
      <w:tr>
        <w:tc>
          <w:tcPr>
            <w:tcW w:type="dxa" w:w="1440"/>
          </w:tcPr>
          <w:p>
            <w:pPr/>
            <w:r>
              <w:rPr>
                <w:sz w:val="20"/>
              </w:rPr>
              <w:t>Tool Server</w:t>
            </w:r>
          </w:p>
        </w:tc>
        <w:tc>
          <w:tcPr>
            <w:tcW w:type="dxa" w:w="2160"/>
          </w:tcPr>
          <w:p>
            <w:pPr/>
            <w:r>
              <w:rPr>
                <w:sz w:val="20"/>
              </w:rPr>
              <w:t>Salesforce MCP</w:t>
            </w:r>
          </w:p>
        </w:tc>
        <w:tc>
          <w:tcPr>
            <w:tcW w:type="dxa" w:w="1872"/>
          </w:tcPr>
          <w:p>
            <w:pPr/>
            <w:r>
              <w:rPr>
                <w:sz w:val="20"/>
              </w:rPr>
              <w:t>FastMCP + asyncpg</w:t>
            </w:r>
          </w:p>
        </w:tc>
        <w:tc>
          <w:tcPr>
            <w:tcW w:type="dxa" w:w="3888"/>
          </w:tcPr>
          <w:p>
            <w:pPr/>
            <w:r>
              <w:rPr>
                <w:sz w:val="20"/>
              </w:rPr>
              <w:t>CRM summary with role-based views</w:t>
            </w:r>
          </w:p>
        </w:tc>
      </w:tr>
      <w:tr>
        <w:tc>
          <w:tcPr>
            <w:tcW w:type="dxa" w:w="1440"/>
          </w:tcPr>
          <w:p>
            <w:pPr/>
            <w:r>
              <w:rPr>
                <w:sz w:val="20"/>
              </w:rPr>
              <w:t>Tool Server</w:t>
            </w:r>
          </w:p>
        </w:tc>
        <w:tc>
          <w:tcPr>
            <w:tcW w:type="dxa" w:w="2160"/>
          </w:tcPr>
          <w:p>
            <w:pPr/>
            <w:r>
              <w:rPr>
                <w:sz w:val="20"/>
              </w:rPr>
              <w:t>Payments MCP</w:t>
            </w:r>
          </w:p>
        </w:tc>
        <w:tc>
          <w:tcPr>
            <w:tcW w:type="dxa" w:w="1872"/>
          </w:tcPr>
          <w:p>
            <w:pPr/>
            <w:r>
              <w:rPr>
                <w:sz w:val="20"/>
              </w:rPr>
              <w:t>FastMCP + asyncpg</w:t>
            </w:r>
          </w:p>
        </w:tc>
        <w:tc>
          <w:tcPr>
            <w:tcW w:type="dxa" w:w="3888"/>
          </w:tcPr>
          <w:p>
            <w:pPr/>
            <w:r>
              <w:rPr>
                <w:sz w:val="20"/>
              </w:rPr>
              <w:t>Payment analytics with column masking</w:t>
            </w:r>
          </w:p>
        </w:tc>
      </w:tr>
      <w:tr>
        <w:tc>
          <w:tcPr>
            <w:tcW w:type="dxa" w:w="1440"/>
          </w:tcPr>
          <w:p>
            <w:pPr/>
            <w:r>
              <w:rPr>
                <w:sz w:val="20"/>
              </w:rPr>
              <w:t>Tool Server</w:t>
            </w:r>
          </w:p>
        </w:tc>
        <w:tc>
          <w:tcPr>
            <w:tcW w:type="dxa" w:w="2160"/>
          </w:tcPr>
          <w:p>
            <w:pPr/>
            <w:r>
              <w:rPr>
                <w:sz w:val="20"/>
              </w:rPr>
              <w:t>News MCP</w:t>
            </w:r>
          </w:p>
        </w:tc>
        <w:tc>
          <w:tcPr>
            <w:tcW w:type="dxa" w:w="1872"/>
          </w:tcPr>
          <w:p>
            <w:pPr/>
            <w:r>
              <w:rPr>
                <w:sz w:val="20"/>
              </w:rPr>
              <w:t>FastMCP + Tavily</w:t>
            </w:r>
          </w:p>
        </w:tc>
        <w:tc>
          <w:tcPr>
            <w:tcW w:type="dxa" w:w="3888"/>
          </w:tcPr>
          <w:p>
            <w:pPr/>
            <w:r>
              <w:rPr>
                <w:sz w:val="20"/>
              </w:rPr>
              <w:t>External intelligence with mock fallback</w:t>
            </w:r>
          </w:p>
        </w:tc>
      </w:tr>
      <w:tr>
        <w:tc>
          <w:tcPr>
            <w:tcW w:type="dxa" w:w="1440"/>
          </w:tcPr>
          <w:p>
            <w:pPr/>
            <w:r>
              <w:rPr>
                <w:sz w:val="20"/>
              </w:rPr>
              <w:t>Platform</w:t>
            </w:r>
          </w:p>
        </w:tc>
        <w:tc>
          <w:tcPr>
            <w:tcW w:type="dxa" w:w="2160"/>
          </w:tcPr>
          <w:p>
            <w:pPr/>
            <w:r>
              <w:rPr>
                <w:sz w:val="20"/>
              </w:rPr>
              <w:t>LiteLLM Proxy</w:t>
            </w:r>
          </w:p>
        </w:tc>
        <w:tc>
          <w:tcPr>
            <w:tcW w:type="dxa" w:w="1872"/>
          </w:tcPr>
          <w:p>
            <w:pPr/>
            <w:r>
              <w:rPr>
                <w:sz w:val="20"/>
              </w:rPr>
              <w:t>LiteLLM</w:t>
            </w:r>
          </w:p>
        </w:tc>
        <w:tc>
          <w:tcPr>
            <w:tcW w:type="dxa" w:w="3888"/>
          </w:tcPr>
          <w:p>
            <w:pPr/>
            <w:r>
              <w:rPr>
                <w:sz w:val="20"/>
              </w:rPr>
              <w:t>Model routing + semantic caching</w:t>
            </w:r>
          </w:p>
        </w:tc>
      </w:tr>
      <w:tr>
        <w:tc>
          <w:tcPr>
            <w:tcW w:type="dxa" w:w="1440"/>
          </w:tcPr>
          <w:p>
            <w:pPr/>
            <w:r>
              <w:rPr>
                <w:sz w:val="20"/>
              </w:rPr>
              <w:t>Platform</w:t>
            </w:r>
          </w:p>
        </w:tc>
        <w:tc>
          <w:tcPr>
            <w:tcW w:type="dxa" w:w="2160"/>
          </w:tcPr>
          <w:p>
            <w:pPr/>
            <w:r>
              <w:rPr>
                <w:sz w:val="20"/>
              </w:rPr>
              <w:t>OPA</w:t>
            </w:r>
          </w:p>
        </w:tc>
        <w:tc>
          <w:tcPr>
            <w:tcW w:type="dxa" w:w="1872"/>
          </w:tcPr>
          <w:p>
            <w:pPr/>
            <w:r>
              <w:rPr>
                <w:sz w:val="20"/>
              </w:rPr>
              <w:t>Open Policy Agent</w:t>
            </w:r>
          </w:p>
        </w:tc>
        <w:tc>
          <w:tcPr>
            <w:tcW w:type="dxa" w:w="3888"/>
          </w:tcPr>
          <w:p>
            <w:pPr/>
            <w:r>
              <w:rPr>
                <w:sz w:val="20"/>
              </w:rPr>
              <w:t>Fail-closed authorization decisions</w:t>
            </w:r>
          </w:p>
        </w:tc>
      </w:tr>
      <w:tr>
        <w:tc>
          <w:tcPr>
            <w:tcW w:type="dxa" w:w="1440"/>
          </w:tcPr>
          <w:p>
            <w:pPr/>
            <w:r>
              <w:rPr>
                <w:sz w:val="20"/>
              </w:rPr>
              <w:t>Platform</w:t>
            </w:r>
          </w:p>
        </w:tc>
        <w:tc>
          <w:tcPr>
            <w:tcW w:type="dxa" w:w="2160"/>
          </w:tcPr>
          <w:p>
            <w:pPr/>
            <w:r>
              <w:rPr>
                <w:sz w:val="20"/>
              </w:rPr>
              <w:t>PostgreSQL</w:t>
            </w:r>
          </w:p>
        </w:tc>
        <w:tc>
          <w:tcPr>
            <w:tcW w:type="dxa" w:w="1872"/>
          </w:tcPr>
          <w:p>
            <w:pPr/>
            <w:r>
              <w:rPr>
                <w:sz w:val="20"/>
              </w:rPr>
              <w:t>pgvector</w:t>
            </w:r>
          </w:p>
        </w:tc>
        <w:tc>
          <w:tcPr>
            <w:tcW w:type="dxa" w:w="3888"/>
          </w:tcPr>
          <w:p>
            <w:pPr/>
            <w:r>
              <w:rPr>
                <w:sz w:val="20"/>
              </w:rPr>
              <w:t>Data store + LangGraph checkpointing</w:t>
            </w:r>
          </w:p>
        </w:tc>
      </w:tr>
      <w:tr>
        <w:tc>
          <w:tcPr>
            <w:tcW w:type="dxa" w:w="1440"/>
          </w:tcPr>
          <w:p>
            <w:pPr/>
            <w:r>
              <w:rPr>
                <w:sz w:val="20"/>
              </w:rPr>
              <w:t>Platform</w:t>
            </w:r>
          </w:p>
        </w:tc>
        <w:tc>
          <w:tcPr>
            <w:tcW w:type="dxa" w:w="2160"/>
          </w:tcPr>
          <w:p>
            <w:pPr/>
            <w:r>
              <w:rPr>
                <w:sz w:val="20"/>
              </w:rPr>
              <w:t>Redis</w:t>
            </w:r>
          </w:p>
        </w:tc>
        <w:tc>
          <w:tcPr>
            <w:tcW w:type="dxa" w:w="1872"/>
          </w:tcPr>
          <w:p>
            <w:pPr/>
            <w:r>
              <w:rPr>
                <w:sz w:val="20"/>
              </w:rPr>
              <w:t>Redis 7</w:t>
            </w:r>
          </w:p>
        </w:tc>
        <w:tc>
          <w:tcPr>
            <w:tcW w:type="dxa" w:w="3888"/>
          </w:tcPr>
          <w:p>
            <w:pPr/>
            <w:r>
              <w:rPr>
                <w:sz w:val="20"/>
              </w:rPr>
              <w:t>Tool result caching with circuit breaker</w:t>
            </w:r>
          </w:p>
        </w:tc>
      </w:tr>
      <w:tr>
        <w:tc>
          <w:tcPr>
            <w:tcW w:type="dxa" w:w="1440"/>
          </w:tcPr>
          <w:p>
            <w:pPr/>
            <w:r>
              <w:rPr>
                <w:sz w:val="20"/>
              </w:rPr>
              <w:t>Platform</w:t>
            </w:r>
          </w:p>
        </w:tc>
        <w:tc>
          <w:tcPr>
            <w:tcW w:type="dxa" w:w="2160"/>
          </w:tcPr>
          <w:p>
            <w:pPr/>
            <w:r>
              <w:rPr>
                <w:sz w:val="20"/>
              </w:rPr>
              <w:t>OpenTelemetry</w:t>
            </w:r>
          </w:p>
        </w:tc>
        <w:tc>
          <w:tcPr>
            <w:tcW w:type="dxa" w:w="1872"/>
          </w:tcPr>
          <w:p>
            <w:pPr/>
            <w:r>
              <w:rPr>
                <w:sz w:val="20"/>
              </w:rPr>
              <w:t>OTel Collector</w:t>
            </w:r>
          </w:p>
        </w:tc>
        <w:tc>
          <w:tcPr>
            <w:tcW w:type="dxa" w:w="3888"/>
          </w:tcPr>
          <w:p>
            <w:pPr/>
            <w:r>
              <w:rPr>
                <w:sz w:val="20"/>
              </w:rPr>
              <w:t>Distributed tracing</w:t>
            </w:r>
          </w:p>
        </w:tc>
      </w:tr>
      <w:tr>
        <w:tc>
          <w:tcPr>
            <w:tcW w:type="dxa" w:w="1440"/>
          </w:tcPr>
          <w:p>
            <w:pPr/>
            <w:r>
              <w:rPr>
                <w:sz w:val="20"/>
              </w:rPr>
              <w:t>SDK</w:t>
            </w:r>
          </w:p>
        </w:tc>
        <w:tc>
          <w:tcPr>
            <w:tcW w:type="dxa" w:w="2160"/>
          </w:tcPr>
          <w:p>
            <w:pPr/>
            <w:r>
              <w:rPr>
                <w:sz w:val="20"/>
              </w:rPr>
              <w:t>Platform SDK</w:t>
            </w:r>
          </w:p>
        </w:tc>
        <w:tc>
          <w:tcPr>
            <w:tcW w:type="dxa" w:w="1872"/>
          </w:tcPr>
          <w:p>
            <w:pPr/>
            <w:r>
              <w:rPr>
                <w:sz w:val="20"/>
              </w:rPr>
              <w:t>Python</w:t>
            </w:r>
          </w:p>
        </w:tc>
        <w:tc>
          <w:tcPr>
            <w:tcW w:type="dxa" w:w="3888"/>
          </w:tcPr>
          <w:p>
            <w:pPr/>
            <w:r>
              <w:rPr>
                <w:sz w:val="20"/>
              </w:rPr>
              <w:t>Auth, config, logging, telemetry, agent factories</w:t>
            </w:r>
          </w:p>
        </w:tc>
      </w:tr>
    </w:tbl>
    <w:p/>
    <w:p>
      <w:pPr>
        <w:pStyle w:val="Heading2"/>
      </w:pPr>
      <w:r>
        <w:t>2.3 Strengths Identified</w:t>
      </w:r>
    </w:p>
    <w:p>
      <w:pPr>
        <w:pStyle w:val="ListBullet"/>
      </w:pPr>
      <w:r>
        <w:rPr>
          <w:sz w:val="20"/>
        </w:rPr>
        <w:t>Defense-in-depth authorization: JWT → AgentContext HMAC → OPA policy → database row filters/column masks, with server-stamped environment and agent_role preventing escalation injection.</w:t>
      </w:r>
    </w:p>
    <w:p>
      <w:pPr>
        <w:pStyle w:val="ListBullet"/>
      </w:pPr>
      <w:r>
        <w:rPr>
          <w:sz w:val="20"/>
        </w:rPr>
        <w:t>Structured logging via structlog with automatic OpenTelemetry span context injection (trace_id, span_id) across all services.</w:t>
      </w:r>
    </w:p>
    <w:p>
      <w:pPr>
        <w:pStyle w:val="ListBullet"/>
      </w:pPr>
      <w:r>
        <w:rPr>
          <w:sz w:val="20"/>
        </w:rPr>
        <w:t>Fail-closed security design: OPA errors, timeouts, and HTTP failures all result in denial, never permission.</w:t>
      </w:r>
    </w:p>
    <w:p>
      <w:pPr>
        <w:pStyle w:val="ListBullet"/>
      </w:pPr>
      <w:r>
        <w:rPr>
          <w:sz w:val="20"/>
        </w:rPr>
        <w:t>Immutable audit trail in PostgreSQL (agent_audit_log) capturing trace_id, session_id, tool_name, OPA decision, and outcome.</w:t>
      </w:r>
    </w:p>
    <w:p>
      <w:pPr>
        <w:pStyle w:val="ListBullet"/>
      </w:pPr>
      <w:r>
        <w:rPr>
          <w:sz w:val="20"/>
        </w:rPr>
        <w:t>Redis circuit breaker with exponential backoff probing prevents cache failure cascading to upstream services.</w:t>
      </w:r>
    </w:p>
    <w:p>
      <w:pPr>
        <w:pStyle w:val="ListBullet"/>
      </w:pPr>
      <w:r>
        <w:rPr>
          <w:sz w:val="20"/>
        </w:rPr>
        <w:t>Graceful degradation in News MCP (Tavily API failure falls back to mock data) and cache layer (Redis unavailable bypasses caching transparently).</w:t>
      </w:r>
    </w:p>
    <w:p>
      <w:pPr>
        <w:pStyle w:val="ListBullet"/>
      </w:pPr>
      <w:r>
        <w:rPr>
          <w:sz w:val="20"/>
        </w:rPr>
        <w:t>Model tiering: RM Prep uses cheap models (Haiku) for routing and parsing, reserving expensive models (Sonnet) for synthesis only.</w:t>
      </w:r>
    </w:p>
    <w:p>
      <w:pPr>
        <w:pStyle w:val="ListBullet"/>
      </w:pPr>
      <w:r>
        <w:rPr>
          <w:sz w:val="20"/>
        </w:rPr>
        <w:t>Platform SDK extraction: cross-cutting concerns (auth, config, logging, telemetry) are centralized in a reusable package.</w:t>
      </w:r>
    </w:p>
    <w:p>
      <w:pPr>
        <w:pStyle w:val="ListBullet"/>
      </w:pPr>
      <w:r>
        <w:rPr>
          <w:sz w:val="20"/>
        </w:rPr>
        <w:t>Three-layer testing strategy (unit, integration, eval) with clear pytest markers and separation of concerns.</w:t>
      </w:r>
    </w:p>
    <w:p>
      <w:pPr>
        <w:pStyle w:val="ListBullet"/>
      </w:pPr>
      <w:r>
        <w:rPr>
          <w:sz w:val="20"/>
        </w:rPr>
        <w:t>MCPToolBridge with persistent reconnect loop, exponential backoff, and ContextVar-based session injection for async safety.</w:t>
      </w:r>
    </w:p>
    <w:p>
      <w:r>
        <w:br w:type="page"/>
      </w:r>
    </w:p>
    <w:p>
      <w:pPr>
        <w:pStyle w:val="Heading1"/>
      </w:pPr>
      <w:r>
        <w:t>3. Separation of Concerns Analysis</w:t>
      </w:r>
    </w:p>
    <w:p>
      <w:pPr>
        <w:pStyle w:val="Heading2"/>
      </w:pPr>
      <w:r>
        <w:t>3.1 What Works Well</w:t>
      </w:r>
    </w:p>
    <w:p>
      <w:r>
        <w:t>The MCP-mediated data access pattern is an excellent architectural decision. By routing all database access through MCP tool servers, the platform achieves a clean boundary where authorization, caching, and auditing logic lives in exactly one place per data domain. The Platform SDK further centralizes cross-cutting concerns: any agent or tool server imports auth, logging, and telemetry from a single package.</w:t>
      </w:r>
    </w:p>
    <w:p>
      <w:r>
        <w:t>The Portfolio Watch agent demonstrates the strongest separation: node implementations (gather, generate, evaluate, format) are isolated in separate files with factory-function dependency injection. Each node can be unit tested by mocking only its direct dependency (LLM or file system).</w:t>
      </w:r>
    </w:p>
    <w:p>
      <w:pPr>
        <w:pStyle w:val="Heading2"/>
      </w:pPr>
      <w:r>
        <w:t>3.2 Improvement Areas</w:t>
      </w:r>
    </w:p>
    <w:p>
      <w:pPr>
        <w:spacing w:before="200" w:after="40"/>
      </w:pPr>
      <w:r>
        <w:rPr>
          <w:b/>
          <w:sz w:val="22"/>
        </w:rPr>
        <w:t xml:space="preserve">[SOC-01] </w:t>
      </w:r>
      <w:r>
        <w:rPr>
          <w:b/>
          <w:color w:val="E06C00"/>
          <w:sz w:val="22"/>
        </w:rPr>
        <w:t xml:space="preserve">[HIGH] </w:t>
      </w:r>
      <w:r>
        <w:rPr>
          <w:b/>
          <w:sz w:val="22"/>
        </w:rPr>
        <w:t>MCP Tool Servers Duplicate Infrastructure Boilerplate</w:t>
      </w:r>
    </w:p>
    <w:p>
      <w:pPr>
        <w:spacing w:after="40"/>
        <w:ind w:left="360"/>
      </w:pPr>
      <w:r>
        <w:t>All four MCP servers (data-mcp, salesforce-mcp, payments-mcp, news-search-mcp) independently implement identical patterns: FastMCP lifespan context manager, asyncpg pool initialization, OPA client setup, Redis cache wiring, telemetry initialization, and health-check endpoints. A bug fix in one server's lifespan (e.g., handling AsyncPostgresSaver import failure) must be manually replicated across all four.</w:t>
      </w:r>
    </w:p>
    <w:p>
      <w:pPr>
        <w:ind w:left="360"/>
      </w:pPr>
      <w:r>
        <w:rPr>
          <w:b/>
          <w:color w:val="1B3A5C"/>
          <w:sz w:val="20"/>
        </w:rPr>
        <w:t xml:space="preserve">Recommendation: </w:t>
      </w:r>
      <w:r>
        <w:rPr>
          <w:sz w:val="20"/>
        </w:rPr>
        <w:t>Extract a BaseMCPServer class or mixin in platform_sdk that encapsulates the standard lifespan, OPA/cache/pool initialization, and health probes. Each tool server then only implements its domain-specific tool functions. This reduces duplication from ~150 lines per server to ~20 lines of configuration.</w:t>
      </w:r>
    </w:p>
    <w:p>
      <w:pPr>
        <w:spacing w:before="200" w:after="40"/>
      </w:pPr>
      <w:r>
        <w:rPr>
          <w:b/>
          <w:sz w:val="22"/>
        </w:rPr>
        <w:t xml:space="preserve">[SOC-02] </w:t>
      </w:r>
      <w:r>
        <w:rPr>
          <w:b/>
          <w:color w:val="CC9900"/>
          <w:sz w:val="22"/>
        </w:rPr>
        <w:t xml:space="preserve">[MEDIUM] </w:t>
      </w:r>
      <w:r>
        <w:rPr>
          <w:b/>
          <w:sz w:val="22"/>
        </w:rPr>
        <w:t>RM Prep Orchestrator Mixes Infrastructure with Business Logic</w:t>
      </w:r>
    </w:p>
    <w:p>
      <w:pPr>
        <w:spacing w:after="40"/>
        <w:ind w:left="360"/>
      </w:pPr>
      <w:r>
        <w:t>The graph.py file in rm-prep embeds error handling, JSON parsing, and MCP bridge error recovery directly inside business-logic nodes (parse_intent, gather_crm, synthesize). For example, gather_crm catches JSONDecodeError and silently sets account_id to None, while synthesize constructs a fallback RMBrief with error details in the executive_summary field. These infrastructure concerns obscure the domain logic.</w:t>
      </w:r>
    </w:p>
    <w:p>
      <w:pPr>
        <w:ind w:left="360"/>
      </w:pPr>
      <w:r>
        <w:rPr>
          <w:b/>
          <w:color w:val="1B3A5C"/>
          <w:sz w:val="20"/>
        </w:rPr>
        <w:t xml:space="preserve">Recommendation: </w:t>
      </w:r>
      <w:r>
        <w:rPr>
          <w:sz w:val="20"/>
        </w:rPr>
        <w:t>Apply the Ports and Adapters pattern: define a CRMPort protocol with a get_summary(company_name) method. The production adapter wraps MCP bridge calls with error handling; a test adapter returns canned data. Graph nodes become pure domain logic operating on typed inputs/outputs.</w:t>
      </w:r>
    </w:p>
    <w:p>
      <w:pPr>
        <w:spacing w:before="200" w:after="40"/>
      </w:pPr>
      <w:r>
        <w:rPr>
          <w:b/>
          <w:sz w:val="22"/>
        </w:rPr>
        <w:t xml:space="preserve">[SOC-03] </w:t>
      </w:r>
      <w:r>
        <w:rPr>
          <w:b/>
          <w:color w:val="CC9900"/>
          <w:sz w:val="22"/>
        </w:rPr>
        <w:t xml:space="preserve">[MEDIUM] </w:t>
      </w:r>
      <w:r>
        <w:rPr>
          <w:b/>
          <w:sz w:val="22"/>
        </w:rPr>
        <w:t>Agent Servers Duplicate Health Probe Endpoints</w:t>
      </w:r>
    </w:p>
    <w:p>
      <w:pPr>
        <w:spacing w:after="40"/>
        <w:ind w:left="360"/>
      </w:pPr>
      <w:r>
        <w:t>Each agent server (enterprise agent, rm-prep, portfolio-watch) independently implements /health and /health/ready endpoints with service-specific readiness checks. The structure is identical but the implementation is copy-pasted.</w:t>
      </w:r>
    </w:p>
    <w:p>
      <w:pPr>
        <w:ind w:left="360"/>
      </w:pPr>
      <w:r>
        <w:rPr>
          <w:b/>
          <w:color w:val="1B3A5C"/>
          <w:sz w:val="20"/>
        </w:rPr>
        <w:t xml:space="preserve">Recommendation: </w:t>
      </w:r>
      <w:r>
        <w:rPr>
          <w:sz w:val="20"/>
        </w:rPr>
        <w:t>Create a reusable FastAPI router factory in platform_sdk: make_health_router(checks: dict[str, Callable]) that generates standardized /health and /health/ready endpoints. Each service passes its component health checks (e.g., {'mcp_bridge': bridge.is_connected, 'agent': lambda: executor is not None}).</w:t>
      </w:r>
    </w:p>
    <w:p>
      <w:pPr>
        <w:spacing w:before="200" w:after="40"/>
      </w:pPr>
      <w:r>
        <w:rPr>
          <w:b/>
          <w:sz w:val="22"/>
        </w:rPr>
        <w:t xml:space="preserve">[SOC-04] </w:t>
      </w:r>
      <w:r>
        <w:rPr>
          <w:b/>
          <w:color w:val="CC9900"/>
          <w:sz w:val="22"/>
        </w:rPr>
        <w:t xml:space="preserve">[MEDIUM] </w:t>
      </w:r>
      <w:r>
        <w:rPr>
          <w:b/>
          <w:sz w:val="22"/>
        </w:rPr>
        <w:t>Prompt Templates Loaded at Runtime Without Validation</w:t>
      </w:r>
    </w:p>
    <w:p>
      <w:pPr>
        <w:spacing w:after="40"/>
        <w:ind w:left="360"/>
      </w:pPr>
      <w:r>
        <w:t>RM Prep loads Jinja2 templates from the filesystem at runtime (_load_prompt function). If a template file is missing or malformed, the service crashes with an obscure FileNotFoundError rather than a clear startup validation failure.</w:t>
      </w:r>
    </w:p>
    <w:p>
      <w:pPr>
        <w:ind w:left="360"/>
      </w:pPr>
      <w:r>
        <w:rPr>
          <w:b/>
          <w:color w:val="1B3A5C"/>
          <w:sz w:val="20"/>
        </w:rPr>
        <w:t xml:space="preserve">Recommendation: </w:t>
      </w:r>
      <w:r>
        <w:rPr>
          <w:sz w:val="20"/>
        </w:rPr>
        <w:t>Validate all required template files exist during the FastAPI lifespan initialization phase. Pre-compile Jinja2 templates at startup and store them in app.state. This shifts failure detection from request-time to startup-time.</w:t>
      </w:r>
    </w:p>
    <w:p>
      <w:r>
        <w:br w:type="page"/>
      </w:r>
    </w:p>
    <w:p>
      <w:pPr>
        <w:pStyle w:val="Heading1"/>
      </w:pPr>
      <w:r>
        <w:t>4. Testability Review</w:t>
      </w:r>
    </w:p>
    <w:p>
      <w:pPr>
        <w:pStyle w:val="Heading2"/>
      </w:pPr>
      <w:r>
        <w:t>4.1 Current Test Architecture</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440"/>
          </w:tcPr>
          <w:p>
            <w:pPr/>
            <w:r>
              <w:rPr>
                <w:b/>
                <w:sz w:val="20"/>
              </w:rPr>
              <w:t>Layer</w:t>
            </w:r>
          </w:p>
        </w:tc>
        <w:tc>
          <w:tcPr>
            <w:tcW w:type="dxa" w:w="2592"/>
          </w:tcPr>
          <w:p>
            <w:pPr/>
            <w:r>
              <w:rPr>
                <w:b/>
                <w:sz w:val="20"/>
              </w:rPr>
              <w:t>Scope</w:t>
            </w:r>
          </w:p>
        </w:tc>
        <w:tc>
          <w:tcPr>
            <w:tcW w:type="dxa" w:w="2160"/>
          </w:tcPr>
          <w:p>
            <w:pPr/>
            <w:r>
              <w:rPr>
                <w:b/>
                <w:sz w:val="20"/>
              </w:rPr>
              <w:t>Dependencies</w:t>
            </w:r>
          </w:p>
        </w:tc>
        <w:tc>
          <w:tcPr>
            <w:tcW w:type="dxa" w:w="1152"/>
          </w:tcPr>
          <w:p>
            <w:pPr/>
            <w:r>
              <w:rPr>
                <w:b/>
                <w:sz w:val="20"/>
              </w:rPr>
              <w:t>Coverage</w:t>
            </w:r>
          </w:p>
        </w:tc>
        <w:tc>
          <w:tcPr>
            <w:tcW w:type="dxa" w:w="1440"/>
          </w:tcPr>
          <w:p>
            <w:pPr/>
            <w:r>
              <w:rPr>
                <w:b/>
                <w:sz w:val="20"/>
              </w:rPr>
              <w:t>Isolation</w:t>
            </w:r>
          </w:p>
        </w:tc>
      </w:tr>
      <w:tr>
        <w:tc>
          <w:tcPr>
            <w:tcW w:type="dxa" w:w="1440"/>
          </w:tcPr>
          <w:p>
            <w:pPr/>
            <w:r>
              <w:rPr>
                <w:sz w:val="20"/>
              </w:rPr>
              <w:t>Unit</w:t>
            </w:r>
          </w:p>
        </w:tc>
        <w:tc>
          <w:tcPr>
            <w:tcW w:type="dxa" w:w="2592"/>
          </w:tcPr>
          <w:p>
            <w:pPr/>
            <w:r>
              <w:rPr>
                <w:sz w:val="20"/>
              </w:rPr>
              <w:t>Auth, HMAC, cache keys, brief rendering</w:t>
            </w:r>
          </w:p>
        </w:tc>
        <w:tc>
          <w:tcPr>
            <w:tcW w:type="dxa" w:w="2160"/>
          </w:tcPr>
          <w:p>
            <w:pPr/>
            <w:r>
              <w:rPr>
                <w:sz w:val="20"/>
              </w:rPr>
              <w:t>None (pure functions)</w:t>
            </w:r>
          </w:p>
        </w:tc>
        <w:tc>
          <w:tcPr>
            <w:tcW w:type="dxa" w:w="1152"/>
          </w:tcPr>
          <w:p>
            <w:pPr/>
            <w:r>
              <w:rPr>
                <w:sz w:val="20"/>
              </w:rPr>
              <w:t>~95%</w:t>
            </w:r>
          </w:p>
        </w:tc>
        <w:tc>
          <w:tcPr>
            <w:tcW w:type="dxa" w:w="1440"/>
          </w:tcPr>
          <w:p>
            <w:pPr/>
            <w:r>
              <w:rPr>
                <w:sz w:val="20"/>
              </w:rPr>
              <w:t>Complete</w:t>
            </w:r>
          </w:p>
        </w:tc>
      </w:tr>
      <w:tr>
        <w:tc>
          <w:tcPr>
            <w:tcW w:type="dxa" w:w="1440"/>
          </w:tcPr>
          <w:p>
            <w:pPr/>
            <w:r>
              <w:rPr>
                <w:sz w:val="20"/>
              </w:rPr>
              <w:t>Integration</w:t>
            </w:r>
          </w:p>
        </w:tc>
        <w:tc>
          <w:tcPr>
            <w:tcW w:type="dxa" w:w="2592"/>
          </w:tcPr>
          <w:p>
            <w:pPr/>
            <w:r>
              <w:rPr>
                <w:sz w:val="20"/>
              </w:rPr>
              <w:t>OPA policies, SQL queries, HTTP endpoints</w:t>
            </w:r>
          </w:p>
        </w:tc>
        <w:tc>
          <w:tcPr>
            <w:tcW w:type="dxa" w:w="2160"/>
          </w:tcPr>
          <w:p>
            <w:pPr/>
            <w:r>
              <w:rPr>
                <w:sz w:val="20"/>
              </w:rPr>
              <w:t>Docker Compose stack</w:t>
            </w:r>
          </w:p>
        </w:tc>
        <w:tc>
          <w:tcPr>
            <w:tcW w:type="dxa" w:w="1152"/>
          </w:tcPr>
          <w:p>
            <w:pPr/>
            <w:r>
              <w:rPr>
                <w:sz w:val="20"/>
              </w:rPr>
              <w:t>~60%</w:t>
            </w:r>
          </w:p>
        </w:tc>
        <w:tc>
          <w:tcPr>
            <w:tcW w:type="dxa" w:w="1440"/>
          </w:tcPr>
          <w:p>
            <w:pPr/>
            <w:r>
              <w:rPr>
                <w:sz w:val="20"/>
              </w:rPr>
              <w:t>Partial</w:t>
            </w:r>
          </w:p>
        </w:tc>
      </w:tr>
      <w:tr>
        <w:tc>
          <w:tcPr>
            <w:tcW w:type="dxa" w:w="1440"/>
          </w:tcPr>
          <w:p>
            <w:pPr/>
            <w:r>
              <w:rPr>
                <w:sz w:val="20"/>
              </w:rPr>
              <w:t>Eval</w:t>
            </w:r>
          </w:p>
        </w:tc>
        <w:tc>
          <w:tcPr>
            <w:tcW w:type="dxa" w:w="2592"/>
          </w:tcPr>
          <w:p>
            <w:pPr/>
            <w:r>
              <w:rPr>
                <w:sz w:val="20"/>
              </w:rPr>
              <w:t>Synthesis quality, faithfulness, specialist fidelity</w:t>
            </w:r>
          </w:p>
        </w:tc>
        <w:tc>
          <w:tcPr>
            <w:tcW w:type="dxa" w:w="2160"/>
          </w:tcPr>
          <w:p>
            <w:pPr/>
            <w:r>
              <w:rPr>
                <w:sz w:val="20"/>
              </w:rPr>
              <w:t>Live LLM + full stack</w:t>
            </w:r>
          </w:p>
        </w:tc>
        <w:tc>
          <w:tcPr>
            <w:tcW w:type="dxa" w:w="1152"/>
          </w:tcPr>
          <w:p>
            <w:pPr/>
            <w:r>
              <w:rPr>
                <w:sz w:val="20"/>
              </w:rPr>
              <w:t>~40%</w:t>
            </w:r>
          </w:p>
        </w:tc>
        <w:tc>
          <w:tcPr>
            <w:tcW w:type="dxa" w:w="1440"/>
          </w:tcPr>
          <w:p>
            <w:pPr/>
            <w:r>
              <w:rPr>
                <w:sz w:val="20"/>
              </w:rPr>
              <w:t>Low</w:t>
            </w:r>
          </w:p>
        </w:tc>
      </w:tr>
    </w:tbl>
    <w:p/>
    <w:p>
      <w:pPr>
        <w:pStyle w:val="Heading2"/>
      </w:pPr>
      <w:r>
        <w:t>4.2 Findings</w:t>
      </w:r>
    </w:p>
    <w:p>
      <w:pPr>
        <w:spacing w:before="200" w:after="40"/>
      </w:pPr>
      <w:r>
        <w:rPr>
          <w:b/>
          <w:sz w:val="22"/>
        </w:rPr>
        <w:t xml:space="preserve">[TEST-01] </w:t>
      </w:r>
      <w:r>
        <w:rPr>
          <w:b/>
          <w:color w:val="CC0000"/>
          <w:sz w:val="22"/>
        </w:rPr>
        <w:t xml:space="preserve">[CRITICAL] </w:t>
      </w:r>
      <w:r>
        <w:rPr>
          <w:b/>
          <w:sz w:val="22"/>
        </w:rPr>
        <w:t>No Protocol/ABC Interfaces Prevent Clean Mocking</w:t>
      </w:r>
    </w:p>
    <w:p>
      <w:pPr>
        <w:spacing w:after="40"/>
        <w:ind w:left="360"/>
      </w:pPr>
      <w:r>
        <w:t>The platform SDK defines no formal Protocol or ABC classes. OpaClient, ToolResultCache, MCPToolBridge, and EnterpriseLLMClient are all concrete implementations with no interface contracts. This forces tests to either mock internal implementation details (fragile) or spin up real infrastructure (slow). For example, testing a graph node that uses OPA requires mocking httpx.AsyncClient internals rather than swapping in a FakeOpaClient that implements an Authorizer protocol.</w:t>
      </w:r>
    </w:p>
    <w:p>
      <w:pPr>
        <w:ind w:left="360"/>
      </w:pPr>
      <w:r>
        <w:rPr>
          <w:b/>
          <w:color w:val="1B3A5C"/>
          <w:sz w:val="20"/>
        </w:rPr>
        <w:t xml:space="preserve">Recommendation: </w:t>
      </w:r>
      <w:r>
        <w:rPr>
          <w:sz w:val="20"/>
        </w:rPr>
        <w:t>Define Protocol classes for all cross-cutting services: Authorizer (authorize method), CacheStore (get/set), LLMClient (generate), ToolBridge (get_tools/call_tool). Inject these protocols into components via constructor parameters. Provide in-memory test implementations (InMemoryCache, AlwaysAllowAuthorizer, etc.) in the platform_sdk.testing module.</w:t>
      </w:r>
    </w:p>
    <w:p>
      <w:pPr>
        <w:spacing w:before="200" w:after="40"/>
      </w:pPr>
      <w:r>
        <w:rPr>
          <w:b/>
          <w:sz w:val="22"/>
        </w:rPr>
        <w:t xml:space="preserve">[TEST-02] </w:t>
      </w:r>
      <w:r>
        <w:rPr>
          <w:b/>
          <w:color w:val="E06C00"/>
          <w:sz w:val="22"/>
        </w:rPr>
        <w:t xml:space="preserve">[HIGH] </w:t>
      </w:r>
      <w:r>
        <w:rPr>
          <w:b/>
          <w:sz w:val="22"/>
        </w:rPr>
        <w:t>Integration Tests Lack Transaction Isolation</w:t>
      </w:r>
    </w:p>
    <w:p>
      <w:pPr>
        <w:spacing w:after="40"/>
        <w:ind w:left="360"/>
      </w:pPr>
      <w:r>
        <w:t>Integration tests use a session-scoped database pool (conftest.py) without transaction rollback between tests. Data mutations from one test persist and can affect subsequent tests, creating hidden dependencies and non-deterministic failures. The test_payments_sql.py suite is particularly vulnerable because it queries seeded data that could be modified by other tests.</w:t>
      </w:r>
    </w:p>
    <w:p>
      <w:pPr>
        <w:ind w:left="360"/>
      </w:pPr>
      <w:r>
        <w:rPr>
          <w:b/>
          <w:color w:val="1B3A5C"/>
          <w:sz w:val="20"/>
        </w:rPr>
        <w:t xml:space="preserve">Recommendation: </w:t>
      </w:r>
      <w:r>
        <w:rPr>
          <w:sz w:val="20"/>
        </w:rPr>
        <w:t>Wrap each integration test in a database transaction that is rolled back after the test completes. Use pytest-asyncio fixtures with function scope that create a savepoint before each test and rollback after. For tests that must commit (e.g., testing committed-read isolation), use a dedicated test database that is re-seeded before each test class.</w:t>
      </w:r>
    </w:p>
    <w:p>
      <w:pPr>
        <w:spacing w:before="200" w:after="40"/>
      </w:pPr>
      <w:r>
        <w:rPr>
          <w:b/>
          <w:sz w:val="22"/>
        </w:rPr>
        <w:t xml:space="preserve">[TEST-03] </w:t>
      </w:r>
      <w:r>
        <w:rPr>
          <w:b/>
          <w:color w:val="E06C00"/>
          <w:sz w:val="22"/>
        </w:rPr>
        <w:t xml:space="preserve">[HIGH] </w:t>
      </w:r>
      <w:r>
        <w:rPr>
          <w:b/>
          <w:sz w:val="22"/>
        </w:rPr>
        <w:t>Graph-Level Testing Requires Full Mock Stack</w:t>
      </w:r>
    </w:p>
    <w:p>
      <w:pPr>
        <w:spacing w:after="40"/>
        <w:ind w:left="360"/>
      </w:pPr>
      <w:r>
        <w:t>The RM Prep orchestrator graph (build_rm_orchestrator) tightly couples graph construction to LLM and MCP bridge initialization. There is no seam for injecting mock agents or mock tool responses, making it impossible to unit test graph routing logic without a full LLM and MCP stack. The build_rm_orchestrator_with_bridges function compounds this by requiring three live MCP connections at construction time.</w:t>
      </w:r>
    </w:p>
    <w:p>
      <w:pPr>
        <w:ind w:left="360"/>
      </w:pPr>
      <w:r>
        <w:rPr>
          <w:b/>
          <w:color w:val="1B3A5C"/>
          <w:sz w:val="20"/>
        </w:rPr>
        <w:t xml:space="preserve">Recommendation: </w:t>
      </w:r>
      <w:r>
        <w:rPr>
          <w:sz w:val="20"/>
        </w:rPr>
        <w:t>Refactor graph construction into two phases: (1) build_graph(nodes: dict[str, Callable]) that wires the StateGraph topology with injectable node functions, and (2) build_nodes(config, bridges) that creates production node implementations. Tests call build_graph directly with mock node functions to verify routing logic in isolation.</w:t>
      </w:r>
    </w:p>
    <w:p>
      <w:pPr>
        <w:spacing w:before="200" w:after="40"/>
      </w:pPr>
      <w:r>
        <w:rPr>
          <w:b/>
          <w:sz w:val="22"/>
        </w:rPr>
        <w:t xml:space="preserve">[TEST-04] </w:t>
      </w:r>
      <w:r>
        <w:rPr>
          <w:b/>
          <w:color w:val="CC9900"/>
          <w:sz w:val="22"/>
        </w:rPr>
        <w:t xml:space="preserve">[MEDIUM] </w:t>
      </w:r>
      <w:r>
        <w:rPr>
          <w:b/>
          <w:sz w:val="22"/>
        </w:rPr>
        <w:t>No Contract Tests Between Agents and MCP Servers</w:t>
      </w:r>
    </w:p>
    <w:p>
      <w:pPr>
        <w:spacing w:after="40"/>
        <w:ind w:left="360"/>
      </w:pPr>
      <w:r>
        <w:t>The integration boundary between agent orchestrators and MCP tool servers relies on implicit JSON contracts. If an MCP server changes its response format (e.g., adding a new field or changing a date format), no test catches the incompatibility until a full end-to-end integration test runs.</w:t>
      </w:r>
    </w:p>
    <w:p>
      <w:pPr>
        <w:ind w:left="360"/>
      </w:pPr>
      <w:r>
        <w:rPr>
          <w:b/>
          <w:color w:val="1B3A5C"/>
          <w:sz w:val="20"/>
        </w:rPr>
        <w:t xml:space="preserve">Recommendation: </w:t>
      </w:r>
      <w:r>
        <w:rPr>
          <w:sz w:val="20"/>
        </w:rPr>
        <w:t>Implement consumer-driven contract tests using Pact or a similar framework. Each agent (consumer) publishes its expected request/response format; each MCP server (provider) verifies it can satisfy these contracts. Run contract tests as part of CI before deploying either side independently.</w:t>
      </w:r>
    </w:p>
    <w:p>
      <w:pPr>
        <w:spacing w:before="200" w:after="40"/>
      </w:pPr>
      <w:r>
        <w:rPr>
          <w:b/>
          <w:sz w:val="22"/>
        </w:rPr>
        <w:t xml:space="preserve">[TEST-05] </w:t>
      </w:r>
      <w:r>
        <w:rPr>
          <w:b/>
          <w:color w:val="CC9900"/>
          <w:sz w:val="22"/>
        </w:rPr>
        <w:t xml:space="preserve">[MEDIUM] </w:t>
      </w:r>
      <w:r>
        <w:rPr>
          <w:b/>
          <w:sz w:val="22"/>
        </w:rPr>
        <w:t>Eval Tests Have No Error-Case Fixtures</w:t>
      </w:r>
    </w:p>
    <w:p>
      <w:pPr>
        <w:spacing w:after="40"/>
        <w:ind w:left="360"/>
      </w:pPr>
      <w:r>
        <w:t>The eval test suite includes four fixtures (microsoft_manager, ford_rm_restricted, unknown_client, readonly_denied) covering happy paths and access denial. Missing are fixtures for partial data failure (CRM available but payments timeout), tool errors (MCP returns ERROR:), and edge cases (client with zero payments, client name with special characters).</w:t>
      </w:r>
    </w:p>
    <w:p>
      <w:pPr>
        <w:ind w:left="360"/>
      </w:pPr>
      <w:r>
        <w:rPr>
          <w:b/>
          <w:color w:val="1B3A5C"/>
          <w:sz w:val="20"/>
        </w:rPr>
        <w:t xml:space="preserve">Recommendation: </w:t>
      </w:r>
      <w:r>
        <w:rPr>
          <w:sz w:val="20"/>
        </w:rPr>
        <w:t>Add at minimum three error-case fixtures: (1) partial_failure where one specialist returns error while others succeed, (2) empty_data where all queries return zero rows, and (3) special_chars where client name contains SQL-sensitive characters. Include corresponding faithfulness thresholds for degraded scenarios.</w:t>
      </w:r>
    </w:p>
    <w:p>
      <w:pPr>
        <w:spacing w:before="200" w:after="40"/>
      </w:pPr>
      <w:r>
        <w:rPr>
          <w:b/>
          <w:sz w:val="22"/>
        </w:rPr>
        <w:t xml:space="preserve">[TEST-06] </w:t>
      </w:r>
      <w:r>
        <w:rPr>
          <w:b/>
          <w:color w:val="0070C0"/>
          <w:sz w:val="22"/>
        </w:rPr>
        <w:t xml:space="preserve">[LOW] </w:t>
      </w:r>
      <w:r>
        <w:rPr>
          <w:b/>
          <w:sz w:val="22"/>
        </w:rPr>
        <w:t>No Coverage Gate in CI Pipeline</w:t>
      </w:r>
    </w:p>
    <w:p>
      <w:pPr>
        <w:spacing w:after="40"/>
        <w:ind w:left="360"/>
      </w:pPr>
      <w:r>
        <w:t>The CI pipeline generates coverage reports but does not enforce a minimum coverage threshold. Coverage can regress silently as new code is added without tests.</w:t>
      </w:r>
    </w:p>
    <w:p>
      <w:pPr>
        <w:ind w:left="360"/>
      </w:pPr>
      <w:r>
        <w:rPr>
          <w:b/>
          <w:color w:val="1B3A5C"/>
          <w:sz w:val="20"/>
        </w:rPr>
        <w:t xml:space="preserve">Recommendation: </w:t>
      </w:r>
      <w:r>
        <w:rPr>
          <w:sz w:val="20"/>
        </w:rPr>
        <w:t>Add a coverage gate (e.g., --cov-fail-under=80) to the unit test CI job. Configure branch coverage in addition to line coverage. Publish coverage trends to a dashboard for visibility.</w:t>
      </w:r>
    </w:p>
    <w:p>
      <w:r>
        <w:br w:type="page"/>
      </w:r>
    </w:p>
    <w:p>
      <w:pPr>
        <w:pStyle w:val="Heading1"/>
      </w:pPr>
      <w:r>
        <w:t>5. Security-First Analysis</w:t>
      </w:r>
    </w:p>
    <w:p>
      <w:pPr>
        <w:pStyle w:val="Heading2"/>
      </w:pPr>
      <w:r>
        <w:t>5.1 Authorization Chain (Strengths)</w:t>
      </w:r>
    </w:p>
    <w:p>
      <w:r>
        <w:t>The platform implements a four-layer authorization chain that is among the strongest patterns observed in enterprise AI systems. The chain proceeds: (1) API boundary—Bearer token verification via constant-time comparison, (2) AgentContext creation—JWT decoded or HMAC-verified with separate secrets for defense-in-depth, (3) OPA policy evaluation—with server-stamped environment and agent_role preventing injection, and (4) Database-level enforcement—row filters and column masks applied at query time.</w:t>
      </w:r>
    </w:p>
    <w:p>
      <w:r>
        <w:t>The HMAC wire format for AgentContext headers uses base64url encoding with constant-time signature comparison, and the separation of JWT_SECRET from CONTEXT_HMAC_SECRET prevents a JWT compromise from enabling MCP header forgery. Server-side stamping of environment and agent_role in OPA inputs prevents privilege escalation.</w:t>
      </w:r>
    </w:p>
    <w:p>
      <w:pPr>
        <w:pStyle w:val="Heading2"/>
      </w:pPr>
      <w:r>
        <w:t>5.2 Findings</w:t>
      </w:r>
    </w:p>
    <w:p>
      <w:pPr>
        <w:spacing w:before="200" w:after="40"/>
      </w:pPr>
      <w:r>
        <w:rPr>
          <w:b/>
          <w:sz w:val="22"/>
        </w:rPr>
        <w:t xml:space="preserve">[SEC-01] </w:t>
      </w:r>
      <w:r>
        <w:rPr>
          <w:b/>
          <w:color w:val="CC0000"/>
          <w:sz w:val="22"/>
        </w:rPr>
        <w:t xml:space="preserve">[CRITICAL] </w:t>
      </w:r>
      <w:r>
        <w:rPr>
          <w:b/>
          <w:sz w:val="22"/>
        </w:rPr>
        <w:t>Clearance Inversion: Missing Compliance Clearance Defaults to Full Access</w:t>
      </w:r>
    </w:p>
    <w:p>
      <w:pPr>
        <w:spacing w:after="40"/>
        <w:ind w:left="360"/>
      </w:pPr>
      <w:r>
        <w:t>The OPA policy (rm_prep_authz.rego) has no 'role → default clearance' mapping. If a JWT carries no compliance_clearance claim, the AgentContext compliance_clearance tuple is empty. The build_col_mask() method in auth.py only adds masks for clearance levels the context HAS; an empty clearance tuple results in NO column masks being applied. This means a missing clearance claim grants full column visibility rather than minimum privilege.</w:t>
      </w:r>
    </w:p>
    <w:p>
      <w:pPr>
        <w:ind w:left="360"/>
      </w:pPr>
      <w:r>
        <w:rPr>
          <w:b/>
          <w:color w:val="1B3A5C"/>
          <w:sz w:val="20"/>
        </w:rPr>
        <w:t xml:space="preserve">Recommendation: </w:t>
      </w:r>
      <w:r>
        <w:rPr>
          <w:sz w:val="20"/>
        </w:rPr>
        <w:t>Implement a fail-closed clearance default: if compliance_clearance is empty, apply the most restrictive column mask (equivalent to 'standard' clearance only). Add a guard in AgentContext.__post_init__ that normalizes empty clearance to ('standard',). Add unit tests for the empty-clearance scenario.</w:t>
      </w:r>
    </w:p>
    <w:p>
      <w:pPr>
        <w:spacing w:before="200" w:after="40"/>
      </w:pPr>
      <w:r>
        <w:rPr>
          <w:b/>
          <w:sz w:val="22"/>
        </w:rPr>
        <w:t xml:space="preserve">[SEC-02] </w:t>
      </w:r>
      <w:r>
        <w:rPr>
          <w:b/>
          <w:color w:val="CC0000"/>
          <w:sz w:val="22"/>
        </w:rPr>
        <w:t xml:space="preserve">[CRITICAL] </w:t>
      </w:r>
      <w:r>
        <w:rPr>
          <w:b/>
          <w:sz w:val="22"/>
        </w:rPr>
        <w:t>No Secret Rotation Strategy</w:t>
      </w:r>
    </w:p>
    <w:p>
      <w:pPr>
        <w:spacing w:after="40"/>
        <w:ind w:left="360"/>
      </w:pPr>
      <w:r>
        <w:t>JWT_SECRET and CONTEXT_HMAC_SECRET are shared across all services (ai-platform, ai-agents, all MCP servers) with no rotation mechanism. Rotating a secret requires coordinated redeployment of every service simultaneously. The external-secrets.yaml specifies a refreshInterval but no rotation schedule.</w:t>
      </w:r>
    </w:p>
    <w:p>
      <w:pPr>
        <w:ind w:left="360"/>
      </w:pPr>
      <w:r>
        <w:rPr>
          <w:b/>
          <w:color w:val="1B3A5C"/>
          <w:sz w:val="20"/>
        </w:rPr>
        <w:t xml:space="preserve">Recommendation: </w:t>
      </w:r>
      <w:r>
        <w:rPr>
          <w:sz w:val="20"/>
        </w:rPr>
        <w:t>Implement dual-secret verification: accept tokens signed with either the current or previous secret during rotation windows. Store secrets in AWS Secrets Manager with automatic rotation (30-day schedule). Update ExternalSecrets to refresh on rotation events rather than fixed intervals.</w:t>
      </w:r>
    </w:p>
    <w:p>
      <w:pPr>
        <w:spacing w:before="200" w:after="40"/>
      </w:pPr>
      <w:r>
        <w:rPr>
          <w:b/>
          <w:sz w:val="22"/>
        </w:rPr>
        <w:t xml:space="preserve">[SEC-03] </w:t>
      </w:r>
      <w:r>
        <w:rPr>
          <w:b/>
          <w:color w:val="E06C00"/>
          <w:sz w:val="22"/>
        </w:rPr>
        <w:t xml:space="preserve">[HIGH] </w:t>
      </w:r>
      <w:r>
        <w:rPr>
          <w:b/>
          <w:sz w:val="22"/>
        </w:rPr>
        <w:t>Container Images Not Pinned by Digest</w:t>
      </w:r>
    </w:p>
    <w:p>
      <w:pPr>
        <w:spacing w:after="40"/>
        <w:ind w:left="360"/>
      </w:pPr>
      <w:r>
        <w:t>Dockerfiles use FROM python:3.11-slim without a specific digest, meaning the base image can change between builds. A compromised or unexpected base image update could introduce vulnerabilities. The LiteLLM image (ghcr.io/berriai/litellm:main-stable) uses a floating tag that could introduce breaking changes.</w:t>
      </w:r>
    </w:p>
    <w:p>
      <w:pPr>
        <w:ind w:left="360"/>
      </w:pPr>
      <w:r>
        <w:rPr>
          <w:b/>
          <w:color w:val="1B3A5C"/>
          <w:sz w:val="20"/>
        </w:rPr>
        <w:t xml:space="preserve">Recommendation: </w:t>
      </w:r>
      <w:r>
        <w:rPr>
          <w:sz w:val="20"/>
        </w:rPr>
        <w:t>Pin all base images by SHA256 digest (e.g., python:3.11-slim@sha256:abc...). Implement automated image scanning in ECR and the CI pipeline (using Trivy or Grype). Add image signing with cosign for supply chain integrity verification.</w:t>
      </w:r>
    </w:p>
    <w:p>
      <w:pPr>
        <w:spacing w:before="200" w:after="40"/>
      </w:pPr>
      <w:r>
        <w:rPr>
          <w:b/>
          <w:sz w:val="22"/>
        </w:rPr>
        <w:t xml:space="preserve">[SEC-04] </w:t>
      </w:r>
      <w:r>
        <w:rPr>
          <w:b/>
          <w:color w:val="E06C00"/>
          <w:sz w:val="22"/>
        </w:rPr>
        <w:t xml:space="preserve">[HIGH] </w:t>
      </w:r>
      <w:r>
        <w:rPr>
          <w:b/>
          <w:sz w:val="22"/>
        </w:rPr>
        <w:t>No Network Policies in Kubernetes</w:t>
      </w:r>
    </w:p>
    <w:p>
      <w:pPr>
        <w:spacing w:after="40"/>
        <w:ind w:left="360"/>
      </w:pPr>
      <w:r>
        <w:t>The Helm charts define no Kubernetes NetworkPolicy resources. All pods can communicate with all other pods in the namespace. An attacker who compromises a frontend pod could directly query the database or OPA service.</w:t>
      </w:r>
    </w:p>
    <w:p>
      <w:pPr>
        <w:ind w:left="360"/>
      </w:pPr>
      <w:r>
        <w:rPr>
          <w:b/>
          <w:color w:val="1B3A5C"/>
          <w:sz w:val="20"/>
        </w:rPr>
        <w:t xml:space="preserve">Recommendation: </w:t>
      </w:r>
      <w:r>
        <w:rPr>
          <w:sz w:val="20"/>
        </w:rPr>
        <w:t>Define NetworkPolicy resources that enforce least-privilege communication: frontends can only reach agent services; agents can only reach MCP servers and LiteLLM; MCP servers can only reach PostgreSQL, Redis, and OPA. OPA should only accept connections from MCP server pods.</w:t>
      </w:r>
    </w:p>
    <w:p>
      <w:pPr>
        <w:spacing w:before="200" w:after="40"/>
      </w:pPr>
      <w:r>
        <w:rPr>
          <w:b/>
          <w:sz w:val="22"/>
        </w:rPr>
        <w:t xml:space="preserve">[SEC-05] </w:t>
      </w:r>
      <w:r>
        <w:rPr>
          <w:b/>
          <w:color w:val="E06C00"/>
          <w:sz w:val="22"/>
        </w:rPr>
        <w:t xml:space="preserve">[HIGH] </w:t>
      </w:r>
      <w:r>
        <w:rPr>
          <w:b/>
          <w:sz w:val="22"/>
        </w:rPr>
        <w:t>Audit Log Lacks Encryption and Retention Policy</w:t>
      </w:r>
    </w:p>
    <w:p>
      <w:pPr>
        <w:spacing w:after="40"/>
        <w:ind w:left="360"/>
      </w:pPr>
      <w:r>
        <w:t>The agent_audit_log table stores input_summary (which may contain PII or sensitive account data) in plaintext with no encryption at rest beyond disk-level encryption. There is no retention policy, so audit logs grow unbounded. No index exists on (agent_role, created_at) for compliance queries.</w:t>
      </w:r>
    </w:p>
    <w:p>
      <w:pPr>
        <w:ind w:left="360"/>
      </w:pPr>
      <w:r>
        <w:rPr>
          <w:b/>
          <w:color w:val="1B3A5C"/>
          <w:sz w:val="20"/>
        </w:rPr>
        <w:t xml:space="preserve">Recommendation: </w:t>
      </w:r>
      <w:r>
        <w:rPr>
          <w:sz w:val="20"/>
        </w:rPr>
        <w:t>Enable column-level encryption for input_summary using pgcrypto. Implement a retention policy (e.g., 90-day hot storage, archive to S3 Glacier). Add composite indexes for compliance query patterns. Consider partitioning by created_at for efficient cleanup.</w:t>
      </w:r>
    </w:p>
    <w:p>
      <w:pPr>
        <w:spacing w:before="200" w:after="40"/>
      </w:pPr>
      <w:r>
        <w:rPr>
          <w:b/>
          <w:sz w:val="22"/>
        </w:rPr>
        <w:t xml:space="preserve">[SEC-06] </w:t>
      </w:r>
      <w:r>
        <w:rPr>
          <w:b/>
          <w:color w:val="CC9900"/>
          <w:sz w:val="22"/>
        </w:rPr>
        <w:t xml:space="preserve">[MEDIUM] </w:t>
      </w:r>
      <w:r>
        <w:rPr>
          <w:b/>
          <w:sz w:val="22"/>
        </w:rPr>
        <w:t>OPA Policy Dev Bypass Commented Out But Present</w:t>
      </w:r>
    </w:p>
    <w:p>
      <w:pPr>
        <w:spacing w:after="40"/>
        <w:ind w:left="360"/>
      </w:pPr>
      <w:r>
        <w:t>The tool_auth.rego file contains a commented-out development bypass rule. If a developer uncomments this rule during debugging and forgets to re-comment, it permanently opens all authorization. The bypass has no runtime guard.</w:t>
      </w:r>
    </w:p>
    <w:p>
      <w:pPr>
        <w:ind w:left="360"/>
      </w:pPr>
      <w:r>
        <w:rPr>
          <w:b/>
          <w:color w:val="1B3A5C"/>
          <w:sz w:val="20"/>
        </w:rPr>
        <w:t xml:space="preserve">Recommendation: </w:t>
      </w:r>
      <w:r>
        <w:rPr>
          <w:sz w:val="20"/>
        </w:rPr>
        <w:t>Remove the commented bypass entirely. If dev bypass is needed, implement it as a runtime feature flag (e.g., OPA_ALLOW_DEV_BYPASS=true) that is validated at startup and logged as a WARNING. Never deploy the flag to production via CI/CD environment restrictions.</w:t>
      </w:r>
    </w:p>
    <w:p>
      <w:pPr>
        <w:spacing w:before="200" w:after="40"/>
      </w:pPr>
      <w:r>
        <w:rPr>
          <w:b/>
          <w:sz w:val="22"/>
        </w:rPr>
        <w:t xml:space="preserve">[SEC-07] </w:t>
      </w:r>
      <w:r>
        <w:rPr>
          <w:b/>
          <w:color w:val="CC9900"/>
          <w:sz w:val="22"/>
        </w:rPr>
        <w:t xml:space="preserve">[MEDIUM] </w:t>
      </w:r>
      <w:r>
        <w:rPr>
          <w:b/>
          <w:sz w:val="22"/>
        </w:rPr>
        <w:t>No Pod Security Context in Helm Charts</w:t>
      </w:r>
    </w:p>
    <w:p>
      <w:pPr>
        <w:spacing w:after="40"/>
        <w:ind w:left="360"/>
      </w:pPr>
      <w:r>
        <w:t>While Dockerfiles run as non-root (appuser:1000), the Helm charts do not enforce runAsNonRoot, readOnlyRootFilesystem, or drop capabilities in the pod securityContext. A container escape could run as root if the container runtime allows it.</w:t>
      </w:r>
    </w:p>
    <w:p>
      <w:pPr>
        <w:ind w:left="360"/>
      </w:pPr>
      <w:r>
        <w:rPr>
          <w:b/>
          <w:color w:val="1B3A5C"/>
          <w:sz w:val="20"/>
        </w:rPr>
        <w:t xml:space="preserve">Recommendation: </w:t>
      </w:r>
      <w:r>
        <w:rPr>
          <w:sz w:val="20"/>
        </w:rPr>
        <w:t>Add securityContext to all pod specs: runAsNonRoot: true, runAsUser: 1000, readOnlyRootFilesystem: true (with emptyDir volumes for /tmp), allowPrivilegeEscalation: false, and drop all capabilities.</w:t>
      </w:r>
    </w:p>
    <w:p>
      <w:r>
        <w:br w:type="page"/>
      </w:r>
    </w:p>
    <w:p>
      <w:pPr>
        <w:pStyle w:val="Heading1"/>
      </w:pPr>
      <w:r>
        <w:t>6. Observability Assessment</w:t>
      </w:r>
    </w:p>
    <w:p>
      <w:pPr>
        <w:pStyle w:val="Heading2"/>
      </w:pPr>
      <w:r>
        <w:t>6.1 Current State</w:t>
      </w:r>
    </w:p>
    <w:p>
      <w:r>
        <w:t>The platform has strong logging foundations. All services use structlog with JSON output and automatic OpenTelemetry trace context injection. Key lifecycle events are logged with structured keyword arguments (not string formatting), enabling machine-parseable log analysis. The OpenTelemetry setup integrates with Dynatrace via OTLP HTTP export, and Grafana/Loki are provisioned for local development.</w:t>
      </w:r>
    </w:p>
    <w:p>
      <w:pPr>
        <w:pStyle w:val="Heading2"/>
      </w:pPr>
      <w:r>
        <w:t>6.2 Findings</w:t>
      </w:r>
    </w:p>
    <w:p>
      <w:pPr>
        <w:spacing w:before="200" w:after="40"/>
      </w:pPr>
      <w:r>
        <w:rPr>
          <w:b/>
          <w:sz w:val="22"/>
        </w:rPr>
        <w:t xml:space="preserve">[OBS-01] </w:t>
      </w:r>
      <w:r>
        <w:rPr>
          <w:b/>
          <w:color w:val="E06C00"/>
          <w:sz w:val="22"/>
        </w:rPr>
        <w:t xml:space="preserve">[HIGH] </w:t>
      </w:r>
      <w:r>
        <w:rPr>
          <w:b/>
          <w:sz w:val="22"/>
        </w:rPr>
        <w:t>Circuit Breaker State Not Exposed as Metrics</w:t>
      </w:r>
    </w:p>
    <w:p>
      <w:pPr>
        <w:spacing w:after="40"/>
        <w:ind w:left="360"/>
      </w:pPr>
      <w:r>
        <w:t>The Redis circuit breaker in ToolResultCache tracks consecutive failures and open/close state transitions, but this information is only logged—not exposed as OpenTelemetry metrics or Prometheus counters. Operations teams cannot create alerts on circuit breaker state changes or track cache degradation trends.</w:t>
      </w:r>
    </w:p>
    <w:p>
      <w:pPr>
        <w:ind w:left="360"/>
      </w:pPr>
      <w:r>
        <w:rPr>
          <w:b/>
          <w:color w:val="1B3A5C"/>
          <w:sz w:val="20"/>
        </w:rPr>
        <w:t xml:space="preserve">Recommendation: </w:t>
      </w:r>
      <w:r>
        <w:rPr>
          <w:sz w:val="20"/>
        </w:rPr>
        <w:t>Expose circuit breaker metrics: cache_circuit_breaker_state (gauge: 0=closed, 1=open), cache_circuit_breaker_transitions_total (counter by state), cache_consecutive_failures (gauge). Add OPA authorization metrics: opa_decisions_total (counter by decision and tool), opa_latency_seconds (histogram).</w:t>
      </w:r>
    </w:p>
    <w:p>
      <w:pPr>
        <w:spacing w:before="200" w:after="40"/>
      </w:pPr>
      <w:r>
        <w:rPr>
          <w:b/>
          <w:sz w:val="22"/>
        </w:rPr>
        <w:t xml:space="preserve">[OBS-02] </w:t>
      </w:r>
      <w:r>
        <w:rPr>
          <w:b/>
          <w:color w:val="CC9900"/>
          <w:sz w:val="22"/>
        </w:rPr>
        <w:t xml:space="preserve">[MEDIUM] </w:t>
      </w:r>
      <w:r>
        <w:rPr>
          <w:b/>
          <w:sz w:val="22"/>
        </w:rPr>
        <w:t>No SLO-Based Alerting or Dashboards</w:t>
      </w:r>
    </w:p>
    <w:p>
      <w:pPr>
        <w:spacing w:after="40"/>
        <w:ind w:left="360"/>
      </w:pPr>
      <w:r>
        <w:t>While Grafana is provisioned, there are no pre-configured dashboards for service-level objectives (SLOs). Key metrics like brief generation latency (p50/p95/p99), OPA decision rate, cache hit ratio, and MCP bridge reconnection frequency are not tracked against targets.</w:t>
      </w:r>
    </w:p>
    <w:p>
      <w:pPr>
        <w:ind w:left="360"/>
      </w:pPr>
      <w:r>
        <w:rPr>
          <w:b/>
          <w:color w:val="1B3A5C"/>
          <w:sz w:val="20"/>
        </w:rPr>
        <w:t xml:space="preserve">Recommendation: </w:t>
      </w:r>
      <w:r>
        <w:rPr>
          <w:sz w:val="20"/>
        </w:rPr>
        <w:t>Define SLOs for each service tier: (1) Agent response latency &lt; 30s p95, (2) OPA decision latency &lt; 100ms p99, (3) Cache hit ratio &gt; 80%, (4) MCP bridge uptime &gt; 99.5%. Create Grafana dashboards with burn-rate alerts.</w:t>
      </w:r>
    </w:p>
    <w:p>
      <w:pPr>
        <w:spacing w:before="200" w:after="40"/>
      </w:pPr>
      <w:r>
        <w:rPr>
          <w:b/>
          <w:sz w:val="22"/>
        </w:rPr>
        <w:t xml:space="preserve">[OBS-03] </w:t>
      </w:r>
      <w:r>
        <w:rPr>
          <w:b/>
          <w:color w:val="CC9900"/>
          <w:sz w:val="22"/>
        </w:rPr>
        <w:t xml:space="preserve">[MEDIUM] </w:t>
      </w:r>
      <w:r>
        <w:rPr>
          <w:b/>
          <w:sz w:val="22"/>
        </w:rPr>
        <w:t>Auth Context Fallback Not Audited</w:t>
      </w:r>
    </w:p>
    <w:p>
      <w:pPr>
        <w:spacing w:after="40"/>
        <w:ind w:left="360"/>
      </w:pPr>
      <w:r>
        <w:t>When an MCP server receives a request without a valid X-Agent-Context header, it silently falls back to AgentContext.anonymous(). This fallback is not logged as a security event and does not appear in the audit trail. A misconfigured agent could operate with anonymous (minimum) privileges indefinitely without detection.</w:t>
      </w:r>
    </w:p>
    <w:p>
      <w:pPr>
        <w:ind w:left="360"/>
      </w:pPr>
      <w:r>
        <w:rPr>
          <w:b/>
          <w:color w:val="1B3A5C"/>
          <w:sz w:val="20"/>
        </w:rPr>
        <w:t xml:space="preserve">Recommendation: </w:t>
      </w:r>
      <w:r>
        <w:rPr>
          <w:sz w:val="20"/>
        </w:rPr>
        <w:t>Log a WARNING-level security event whenever auth context falls back to anonymous. Include the requesting service identity, endpoint, and timestamp. Create an alert if anonymous fallback rate exceeds a threshold (e.g., &gt;5% of requests in a 5-minute window).</w:t>
      </w:r>
    </w:p>
    <w:p>
      <w:pPr>
        <w:spacing w:before="200" w:after="40"/>
      </w:pPr>
      <w:r>
        <w:rPr>
          <w:b/>
          <w:sz w:val="22"/>
        </w:rPr>
        <w:t xml:space="preserve">[OBS-04] </w:t>
      </w:r>
      <w:r>
        <w:rPr>
          <w:b/>
          <w:color w:val="0070C0"/>
          <w:sz w:val="22"/>
        </w:rPr>
        <w:t xml:space="preserve">[LOW] </w:t>
      </w:r>
      <w:r>
        <w:rPr>
          <w:b/>
          <w:sz w:val="22"/>
        </w:rPr>
        <w:t>No Distributed Tracing for MCP Tool Calls</w:t>
      </w:r>
    </w:p>
    <w:p>
      <w:pPr>
        <w:spacing w:after="40"/>
        <w:ind w:left="360"/>
      </w:pPr>
      <w:r>
        <w:t>While OpenTelemetry spans are created for HTTP requests, MCP tool calls within the SSE transport do not propagate trace context. A single brief generation request spawns multiple MCP calls, but these appear as disconnected traces rather than a unified request tree.</w:t>
      </w:r>
    </w:p>
    <w:p>
      <w:pPr>
        <w:ind w:left="360"/>
      </w:pPr>
      <w:r>
        <w:rPr>
          <w:b/>
          <w:color w:val="1B3A5C"/>
          <w:sz w:val="20"/>
        </w:rPr>
        <w:t xml:space="preserve">Recommendation: </w:t>
      </w:r>
      <w:r>
        <w:rPr>
          <w:sz w:val="20"/>
        </w:rPr>
        <w:t>Inject W3C trace context (traceparent header) into MCP tool call metadata. Create child spans in MCP tool servers that link back to the parent agent span. This enables end-to-end latency breakdown in the trace viewer.</w:t>
      </w:r>
    </w:p>
    <w:p>
      <w:r>
        <w:br w:type="page"/>
      </w:r>
    </w:p>
    <w:p>
      <w:pPr>
        <w:pStyle w:val="Heading1"/>
      </w:pPr>
      <w:r>
        <w:t>7. Robustness &amp; Recoverability</w:t>
      </w:r>
    </w:p>
    <w:p>
      <w:pPr>
        <w:pStyle w:val="Heading2"/>
      </w:pPr>
      <w:r>
        <w:t>7.1 Current Resilience Patterns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872"/>
          </w:tcPr>
          <w:p>
            <w:pPr/>
            <w:r>
              <w:rPr>
                <w:b/>
                <w:sz w:val="20"/>
              </w:rPr>
              <w:t>Pattern</w:t>
            </w:r>
          </w:p>
        </w:tc>
        <w:tc>
          <w:tcPr>
            <w:tcW w:type="dxa" w:w="1728"/>
          </w:tcPr>
          <w:p>
            <w:pPr/>
            <w:r>
              <w:rPr>
                <w:b/>
                <w:sz w:val="20"/>
              </w:rPr>
              <w:t>Component</w:t>
            </w:r>
          </w:p>
        </w:tc>
        <w:tc>
          <w:tcPr>
            <w:tcW w:type="dxa" w:w="3600"/>
          </w:tcPr>
          <w:p>
            <w:pPr/>
            <w:r>
              <w:rPr>
                <w:b/>
                <w:sz w:val="20"/>
              </w:rPr>
              <w:t>Implementation</w:t>
            </w:r>
          </w:p>
        </w:tc>
        <w:tc>
          <w:tcPr>
            <w:tcW w:type="dxa" w:w="1440"/>
          </w:tcPr>
          <w:p>
            <w:pPr/>
            <w:r>
              <w:rPr>
                <w:b/>
                <w:sz w:val="20"/>
              </w:rPr>
              <w:t>Effectiveness</w:t>
            </w:r>
          </w:p>
        </w:tc>
      </w:tr>
      <w:tr>
        <w:tc>
          <w:tcPr>
            <w:tcW w:type="dxa" w:w="1872"/>
          </w:tcPr>
          <w:p>
            <w:pPr/>
            <w:r>
              <w:rPr>
                <w:sz w:val="20"/>
              </w:rPr>
              <w:t>Circuit Breaker</w:t>
            </w:r>
          </w:p>
        </w:tc>
        <w:tc>
          <w:tcPr>
            <w:tcW w:type="dxa" w:w="1728"/>
          </w:tcPr>
          <w:p>
            <w:pPr/>
            <w:r>
              <w:rPr>
                <w:sz w:val="20"/>
              </w:rPr>
              <w:t>Redis Cache</w:t>
            </w:r>
          </w:p>
        </w:tc>
        <w:tc>
          <w:tcPr>
            <w:tcW w:type="dxa" w:w="3600"/>
          </w:tcPr>
          <w:p>
            <w:pPr/>
            <w:r>
              <w:rPr>
                <w:sz w:val="20"/>
              </w:rPr>
              <w:t>5-failure threshold, 30s recovery, exponential probe</w:t>
            </w:r>
          </w:p>
        </w:tc>
        <w:tc>
          <w:tcPr>
            <w:tcW w:type="dxa" w:w="1440"/>
          </w:tcPr>
          <w:p>
            <w:pPr/>
            <w:r>
              <w:rPr>
                <w:sz w:val="20"/>
              </w:rPr>
              <w:t>Strong</w:t>
            </w:r>
          </w:p>
        </w:tc>
      </w:tr>
      <w:tr>
        <w:tc>
          <w:tcPr>
            <w:tcW w:type="dxa" w:w="1872"/>
          </w:tcPr>
          <w:p>
            <w:pPr/>
            <w:r>
              <w:rPr>
                <w:sz w:val="20"/>
              </w:rPr>
              <w:t>Retry + Backoff</w:t>
            </w:r>
          </w:p>
        </w:tc>
        <w:tc>
          <w:tcPr>
            <w:tcW w:type="dxa" w:w="1728"/>
          </w:tcPr>
          <w:p>
            <w:pPr/>
            <w:r>
              <w:rPr>
                <w:sz w:val="20"/>
              </w:rPr>
              <w:t>OPA Client</w:t>
            </w:r>
          </w:p>
        </w:tc>
        <w:tc>
          <w:tcPr>
            <w:tcW w:type="dxa" w:w="3600"/>
          </w:tcPr>
          <w:p>
            <w:pPr/>
            <w:r>
              <w:rPr>
                <w:sz w:val="20"/>
              </w:rPr>
              <w:t>2 attempts, 200ms backoff on timeout</w:t>
            </w:r>
          </w:p>
        </w:tc>
        <w:tc>
          <w:tcPr>
            <w:tcW w:type="dxa" w:w="1440"/>
          </w:tcPr>
          <w:p>
            <w:pPr/>
            <w:r>
              <w:rPr>
                <w:sz w:val="20"/>
              </w:rPr>
              <w:t>Medium</w:t>
            </w:r>
          </w:p>
        </w:tc>
      </w:tr>
      <w:tr>
        <w:tc>
          <w:tcPr>
            <w:tcW w:type="dxa" w:w="1872"/>
          </w:tcPr>
          <w:p>
            <w:pPr/>
            <w:r>
              <w:rPr>
                <w:sz w:val="20"/>
              </w:rPr>
              <w:t>Persistent Reconnect</w:t>
            </w:r>
          </w:p>
        </w:tc>
        <w:tc>
          <w:tcPr>
            <w:tcW w:type="dxa" w:w="1728"/>
          </w:tcPr>
          <w:p>
            <w:pPr/>
            <w:r>
              <w:rPr>
                <w:sz w:val="20"/>
              </w:rPr>
              <w:t>MCP Bridge</w:t>
            </w:r>
          </w:p>
        </w:tc>
        <w:tc>
          <w:tcPr>
            <w:tcW w:type="dxa" w:w="3600"/>
          </w:tcPr>
          <w:p>
            <w:pPr/>
            <w:r>
              <w:rPr>
                <w:sz w:val="20"/>
              </w:rPr>
              <w:t>Exponential backoff capped at 60s</w:t>
            </w:r>
          </w:p>
        </w:tc>
        <w:tc>
          <w:tcPr>
            <w:tcW w:type="dxa" w:w="1440"/>
          </w:tcPr>
          <w:p>
            <w:pPr/>
            <w:r>
              <w:rPr>
                <w:sz w:val="20"/>
              </w:rPr>
              <w:t>Strong</w:t>
            </w:r>
          </w:p>
        </w:tc>
      </w:tr>
      <w:tr>
        <w:tc>
          <w:tcPr>
            <w:tcW w:type="dxa" w:w="1872"/>
          </w:tcPr>
          <w:p>
            <w:pPr/>
            <w:r>
              <w:rPr>
                <w:sz w:val="20"/>
              </w:rPr>
              <w:t>Graceful Degradation</w:t>
            </w:r>
          </w:p>
        </w:tc>
        <w:tc>
          <w:tcPr>
            <w:tcW w:type="dxa" w:w="1728"/>
          </w:tcPr>
          <w:p>
            <w:pPr/>
            <w:r>
              <w:rPr>
                <w:sz w:val="20"/>
              </w:rPr>
              <w:t>News MCP</w:t>
            </w:r>
          </w:p>
        </w:tc>
        <w:tc>
          <w:tcPr>
            <w:tcW w:type="dxa" w:w="3600"/>
          </w:tcPr>
          <w:p>
            <w:pPr/>
            <w:r>
              <w:rPr>
                <w:sz w:val="20"/>
              </w:rPr>
              <w:t>Tavily failure → mock data fallback</w:t>
            </w:r>
          </w:p>
        </w:tc>
        <w:tc>
          <w:tcPr>
            <w:tcW w:type="dxa" w:w="1440"/>
          </w:tcPr>
          <w:p>
            <w:pPr/>
            <w:r>
              <w:rPr>
                <w:sz w:val="20"/>
              </w:rPr>
              <w:t>Strong</w:t>
            </w:r>
          </w:p>
        </w:tc>
      </w:tr>
      <w:tr>
        <w:tc>
          <w:tcPr>
            <w:tcW w:type="dxa" w:w="1872"/>
          </w:tcPr>
          <w:p>
            <w:pPr/>
            <w:r>
              <w:rPr>
                <w:sz w:val="20"/>
              </w:rPr>
              <w:t>Fail-Closed</w:t>
            </w:r>
          </w:p>
        </w:tc>
        <w:tc>
          <w:tcPr>
            <w:tcW w:type="dxa" w:w="1728"/>
          </w:tcPr>
          <w:p>
            <w:pPr/>
            <w:r>
              <w:rPr>
                <w:sz w:val="20"/>
              </w:rPr>
              <w:t>OPA Authorization</w:t>
            </w:r>
          </w:p>
        </w:tc>
        <w:tc>
          <w:tcPr>
            <w:tcW w:type="dxa" w:w="3600"/>
          </w:tcPr>
          <w:p>
            <w:pPr/>
            <w:r>
              <w:rPr>
                <w:sz w:val="20"/>
              </w:rPr>
              <w:t>Any error → deny</w:t>
            </w:r>
          </w:p>
        </w:tc>
        <w:tc>
          <w:tcPr>
            <w:tcW w:type="dxa" w:w="1440"/>
          </w:tcPr>
          <w:p>
            <w:pPr/>
            <w:r>
              <w:rPr>
                <w:sz w:val="20"/>
              </w:rPr>
              <w:t>Strong</w:t>
            </w:r>
          </w:p>
        </w:tc>
      </w:tr>
      <w:tr>
        <w:tc>
          <w:tcPr>
            <w:tcW w:type="dxa" w:w="1872"/>
          </w:tcPr>
          <w:p>
            <w:pPr/>
            <w:r>
              <w:rPr>
                <w:sz w:val="20"/>
              </w:rPr>
              <w:t>LangGraph Checkpoints</w:t>
            </w:r>
          </w:p>
        </w:tc>
        <w:tc>
          <w:tcPr>
            <w:tcW w:type="dxa" w:w="1728"/>
          </w:tcPr>
          <w:p>
            <w:pPr/>
            <w:r>
              <w:rPr>
                <w:sz w:val="20"/>
              </w:rPr>
              <w:t>Conversation State</w:t>
            </w:r>
          </w:p>
        </w:tc>
        <w:tc>
          <w:tcPr>
            <w:tcW w:type="dxa" w:w="3600"/>
          </w:tcPr>
          <w:p>
            <w:pPr/>
            <w:r>
              <w:rPr>
                <w:sz w:val="20"/>
              </w:rPr>
              <w:t>PostgreSQL-backed multi-turn state</w:t>
            </w:r>
          </w:p>
        </w:tc>
        <w:tc>
          <w:tcPr>
            <w:tcW w:type="dxa" w:w="1440"/>
          </w:tcPr>
          <w:p>
            <w:pPr/>
            <w:r>
              <w:rPr>
                <w:sz w:val="20"/>
              </w:rPr>
              <w:t>Strong</w:t>
            </w:r>
          </w:p>
        </w:tc>
      </w:tr>
    </w:tbl>
    <w:p/>
    <w:p>
      <w:pPr>
        <w:pStyle w:val="Heading2"/>
      </w:pPr>
      <w:r>
        <w:t>7.2 Findings</w:t>
      </w:r>
    </w:p>
    <w:p>
      <w:pPr>
        <w:spacing w:before="200" w:after="40"/>
      </w:pPr>
      <w:r>
        <w:rPr>
          <w:b/>
          <w:sz w:val="22"/>
        </w:rPr>
        <w:t xml:space="preserve">[ROB-01] </w:t>
      </w:r>
      <w:r>
        <w:rPr>
          <w:b/>
          <w:color w:val="CC0000"/>
          <w:sz w:val="22"/>
        </w:rPr>
        <w:t xml:space="preserve">[CRITICAL] </w:t>
      </w:r>
      <w:r>
        <w:rPr>
          <w:b/>
          <w:sz w:val="22"/>
        </w:rPr>
        <w:t>MCP Bridge Startup Is All-or-Nothing</w:t>
      </w:r>
    </w:p>
    <w:p>
      <w:pPr>
        <w:spacing w:after="40"/>
        <w:ind w:left="360"/>
      </w:pPr>
      <w:r>
        <w:t>The RM Prep orchestrator uses asyncio.gather with return_exceptions=True to connect three MCP bridges at startup (Salesforce, Payments, News). If any bridge fails to connect within the startup timeout, the exception is silently swallowed. The graph starts in a degraded state with no explicit warning, and subsequent tool calls to the failed bridge return opaque 'unavailable' strings that the LLM cannot distinguish from legitimate tool errors.</w:t>
      </w:r>
    </w:p>
    <w:p>
      <w:pPr>
        <w:ind w:left="360"/>
      </w:pPr>
      <w:r>
        <w:rPr>
          <w:b/>
          <w:color w:val="1B3A5C"/>
          <w:sz w:val="20"/>
        </w:rPr>
        <w:t xml:space="preserve">Recommendation: </w:t>
      </w:r>
      <w:r>
        <w:rPr>
          <w:sz w:val="20"/>
        </w:rPr>
        <w:t>Implement a startup health matrix: track which bridges connected successfully and expose this via the /health/ready endpoint. Add a 'degraded' readiness state that indicates partial MCP availability. Implement lazy reconnection: if a bridge fails at startup, spawn a background reconnection task and return explicit 'service_unavailable' errors (not generic strings) for that bridge's tools until reconnection succeeds.</w:t>
      </w:r>
    </w:p>
    <w:p>
      <w:pPr>
        <w:spacing w:before="200" w:after="40"/>
      </w:pPr>
      <w:r>
        <w:rPr>
          <w:b/>
          <w:sz w:val="22"/>
        </w:rPr>
        <w:t xml:space="preserve">[ROB-02] </w:t>
      </w:r>
      <w:r>
        <w:rPr>
          <w:b/>
          <w:color w:val="CC0000"/>
          <w:sz w:val="22"/>
        </w:rPr>
        <w:t xml:space="preserve">[CRITICAL] </w:t>
      </w:r>
      <w:r>
        <w:rPr>
          <w:b/>
          <w:sz w:val="22"/>
        </w:rPr>
        <w:t>No Timeout on MCP Tool Calls</w:t>
      </w:r>
    </w:p>
    <w:p>
      <w:pPr>
        <w:spacing w:after="40"/>
        <w:ind w:left="360"/>
      </w:pPr>
      <w:r>
        <w:t>The MCPToolBridge._make_invoke_fn function calls session.call_tool() without a timeout. If an MCP server hangs (e.g., database query runs indefinitely), the calling agent's request hangs forever. The PostgreSQL statement_timeout (SET LOCAL) provides a database-level guard, but MCP servers that don't set statement_timeout (like news-search-mcp) have no timeout protection at all.</w:t>
      </w:r>
    </w:p>
    <w:p>
      <w:pPr>
        <w:ind w:left="360"/>
      </w:pPr>
      <w:r>
        <w:rPr>
          <w:b/>
          <w:color w:val="1B3A5C"/>
          <w:sz w:val="20"/>
        </w:rPr>
        <w:t xml:space="preserve">Recommendation: </w:t>
      </w:r>
      <w:r>
        <w:rPr>
          <w:sz w:val="20"/>
        </w:rPr>
        <w:t>Wrap session.call_tool() in asyncio.wait_for(timeout=30). Make the timeout configurable via MCPConfig. Return a structured timeout error that the agent can interpret and potentially retry with a simpler query. Ensure all MCP servers set statement_timeout at the database level as defense-in-depth.</w:t>
      </w:r>
    </w:p>
    <w:p>
      <w:pPr>
        <w:spacing w:before="200" w:after="40"/>
      </w:pPr>
      <w:r>
        <w:rPr>
          <w:b/>
          <w:sz w:val="22"/>
        </w:rPr>
        <w:t xml:space="preserve">[ROB-03] </w:t>
      </w:r>
      <w:r>
        <w:rPr>
          <w:b/>
          <w:color w:val="E06C00"/>
          <w:sz w:val="22"/>
        </w:rPr>
        <w:t xml:space="preserve">[HIGH] </w:t>
      </w:r>
      <w:r>
        <w:rPr>
          <w:b/>
          <w:sz w:val="22"/>
        </w:rPr>
        <w:t>No Dead-Letter Queue for Failed Tool Calls</w:t>
      </w:r>
    </w:p>
    <w:p>
      <w:pPr>
        <w:spacing w:after="40"/>
        <w:ind w:left="360"/>
      </w:pPr>
      <w:r>
        <w:t>When an MCP tool call fails (OPA denial, database error, timeout), the error is logged and returned to the agent as a string. There is no mechanism to retry failed calls, queue them for later processing, or analyze failure patterns. In a production scenario, transient database failures during peak load could cause cascading brief generation failures with no recovery path.</w:t>
      </w:r>
    </w:p>
    <w:p>
      <w:pPr>
        <w:ind w:left="360"/>
      </w:pPr>
      <w:r>
        <w:rPr>
          <w:b/>
          <w:color w:val="1B3A5C"/>
          <w:sz w:val="20"/>
        </w:rPr>
        <w:t xml:space="preserve">Recommendation: </w:t>
      </w:r>
      <w:r>
        <w:rPr>
          <w:sz w:val="20"/>
        </w:rPr>
        <w:t>Implement a retry strategy with exponential backoff for transient errors (database timeouts, connection refused). For non-transient errors (OPA denial, invalid input), fail fast. Record all failures to the agent_audit_log with outcome='FAILED' and error classification. Add a periodic reconciliation job that re-attempts failed brief generations.</w:t>
      </w:r>
    </w:p>
    <w:p>
      <w:pPr>
        <w:spacing w:before="200" w:after="40"/>
      </w:pPr>
      <w:r>
        <w:rPr>
          <w:b/>
          <w:sz w:val="22"/>
        </w:rPr>
        <w:t xml:space="preserve">[ROB-04] </w:t>
      </w:r>
      <w:r>
        <w:rPr>
          <w:b/>
          <w:color w:val="E06C00"/>
          <w:sz w:val="22"/>
        </w:rPr>
        <w:t xml:space="preserve">[HIGH] </w:t>
      </w:r>
      <w:r>
        <w:rPr>
          <w:b/>
          <w:sz w:val="22"/>
        </w:rPr>
        <w:t>State Schema Evolution Not Supported</w:t>
      </w:r>
    </w:p>
    <w:p>
      <w:pPr>
        <w:spacing w:after="40"/>
        <w:ind w:left="360"/>
      </w:pPr>
      <w:r>
        <w:t>LangGraph checkpoints serialize RMPrepState and PortfolioWatchState to PostgreSQL. Neither state schema includes a version field. If a node is removed or a field is renamed in a new deployment, old checkpointed state becomes unserializable. Conversations in progress at deployment time will fail with deserialization errors.</w:t>
      </w:r>
    </w:p>
    <w:p>
      <w:pPr>
        <w:ind w:left="360"/>
      </w:pPr>
      <w:r>
        <w:rPr>
          <w:b/>
          <w:color w:val="1B3A5C"/>
          <w:sz w:val="20"/>
        </w:rPr>
        <w:t xml:space="preserve">Recommendation: </w:t>
      </w:r>
      <w:r>
        <w:rPr>
          <w:sz w:val="20"/>
        </w:rPr>
        <w:t>Add a schema_version field to all state definitions. Implement a state migration layer that can upgrade old state formats to current. On deserialization failure, log a warning and start a fresh conversation rather than crashing. Consider checkpoint TTL to automatically expire stale state.</w:t>
      </w:r>
    </w:p>
    <w:p>
      <w:pPr>
        <w:spacing w:before="200" w:after="40"/>
      </w:pPr>
      <w:r>
        <w:rPr>
          <w:b/>
          <w:sz w:val="22"/>
        </w:rPr>
        <w:t xml:space="preserve">[ROB-05] </w:t>
      </w:r>
      <w:r>
        <w:rPr>
          <w:b/>
          <w:color w:val="CC9900"/>
          <w:sz w:val="22"/>
        </w:rPr>
        <w:t xml:space="preserve">[MEDIUM] </w:t>
      </w:r>
      <w:r>
        <w:rPr>
          <w:b/>
          <w:sz w:val="22"/>
        </w:rPr>
        <w:t>Hardcoded Resilience Parameters Not Configurable</w:t>
      </w:r>
    </w:p>
    <w:p>
      <w:pPr>
        <w:spacing w:after="40"/>
        <w:ind w:left="360"/>
      </w:pPr>
      <w:r>
        <w:t>Circuit breaker threshold (5 failures), recovery timeout (30s), OPA retry count (2), backoff delay (200ms), MCP reconnect backoff cap (60s), and token limit (6000) are all hardcoded constants. Tuning these for different environments (dev vs. prod vs. load testing) requires code changes.</w:t>
      </w:r>
    </w:p>
    <w:p>
      <w:pPr>
        <w:ind w:left="360"/>
      </w:pPr>
      <w:r>
        <w:rPr>
          <w:b/>
          <w:color w:val="1B3A5C"/>
          <w:sz w:val="20"/>
        </w:rPr>
        <w:t xml:space="preserve">Recommendation: </w:t>
      </w:r>
      <w:r>
        <w:rPr>
          <w:sz w:val="20"/>
        </w:rPr>
        <w:t>Extract all resilience parameters into MCPConfig and AgentConfig dataclasses. Provide sensible defaults but allow environment-variable overrides. Document recommended values for dev, staging, and production environments.</w:t>
      </w:r>
    </w:p>
    <w:p>
      <w:pPr>
        <w:spacing w:before="200" w:after="40"/>
      </w:pPr>
      <w:r>
        <w:rPr>
          <w:b/>
          <w:sz w:val="22"/>
        </w:rPr>
        <w:t xml:space="preserve">[ROB-06] </w:t>
      </w:r>
      <w:r>
        <w:rPr>
          <w:b/>
          <w:color w:val="CC9900"/>
          <w:sz w:val="22"/>
        </w:rPr>
        <w:t xml:space="preserve">[MEDIUM] </w:t>
      </w:r>
      <w:r>
        <w:rPr>
          <w:b/>
          <w:sz w:val="22"/>
        </w:rPr>
        <w:t>No Self-Healing for OPA Connection Failures</w:t>
      </w:r>
    </w:p>
    <w:p>
      <w:pPr>
        <w:spacing w:after="40"/>
        <w:ind w:left="360"/>
      </w:pPr>
      <w:r>
        <w:t>The OPA client retries individual requests (2 attempts with 200ms backoff) but has no circuit breaker. If OPA becomes persistently unavailable, every MCP tool call pays the full retry penalty (2 attempts × 2s timeout = 4s) before denying. There is no mechanism to detect OPA health degradation and preemptively fail fast.</w:t>
      </w:r>
    </w:p>
    <w:p>
      <w:pPr>
        <w:ind w:left="360"/>
      </w:pPr>
      <w:r>
        <w:rPr>
          <w:b/>
          <w:color w:val="1B3A5C"/>
          <w:sz w:val="20"/>
        </w:rPr>
        <w:t xml:space="preserve">Recommendation: </w:t>
      </w:r>
      <w:r>
        <w:rPr>
          <w:sz w:val="20"/>
        </w:rPr>
        <w:t>Add a circuit breaker to OpaClient matching the Redis cache pattern: after N consecutive failures, open the circuit and fail fast for a recovery period. Expose OPA circuit breaker state as a metric. Consider a local OPA policy cache (using OPA's bundle mechanism) that can serve decisions during OPA outages.</w:t>
      </w:r>
    </w:p>
    <w:p>
      <w:r>
        <w:br w:type="page"/>
      </w:r>
    </w:p>
    <w:p>
      <w:pPr>
        <w:pStyle w:val="Heading1"/>
      </w:pPr>
      <w:r>
        <w:t>8. Integration Readiness</w:t>
      </w:r>
    </w:p>
    <w:p>
      <w:pPr>
        <w:pStyle w:val="Heading2"/>
      </w:pPr>
      <w:r>
        <w:t>8.1 Findings</w:t>
      </w:r>
    </w:p>
    <w:p>
      <w:pPr>
        <w:spacing w:before="200" w:after="40"/>
      </w:pPr>
      <w:r>
        <w:rPr>
          <w:b/>
          <w:sz w:val="22"/>
        </w:rPr>
        <w:t xml:space="preserve">[INT-01] </w:t>
      </w:r>
      <w:r>
        <w:rPr>
          <w:b/>
          <w:color w:val="E06C00"/>
          <w:sz w:val="22"/>
        </w:rPr>
        <w:t xml:space="preserve">[HIGH] </w:t>
      </w:r>
      <w:r>
        <w:rPr>
          <w:b/>
          <w:sz w:val="22"/>
        </w:rPr>
        <w:t>Implicit JSON Contracts Between Services</w:t>
      </w:r>
    </w:p>
    <w:p>
      <w:pPr>
        <w:spacing w:after="40"/>
        <w:ind w:left="360"/>
      </w:pPr>
      <w:r>
        <w:t>MCP tools return plain JSON strings; consuming graph nodes parse these with json.loads() and access specific keys. There is no shared schema definition, no versioning, and no validation. If an MCP server adds, removes, or renames a field, the consuming agent breaks silently (KeyError or missing data).</w:t>
      </w:r>
    </w:p>
    <w:p>
      <w:pPr>
        <w:ind w:left="360"/>
      </w:pPr>
      <w:r>
        <w:rPr>
          <w:b/>
          <w:color w:val="1B3A5C"/>
          <w:sz w:val="20"/>
        </w:rPr>
        <w:t xml:space="preserve">Recommendation: </w:t>
      </w:r>
      <w:r>
        <w:rPr>
          <w:sz w:val="20"/>
        </w:rPr>
        <w:t>Define Pydantic response models in platform_sdk for each tool's output (e.g., SalesforceSummary, PaymentSummary, NewsResults). MCP servers serialize to these models; consuming nodes deserialize and validate. Use model versioning (a 'schema_version' field) to support backward-compatible evolution. Add contract tests that verify serialization round-trips.</w:t>
      </w:r>
    </w:p>
    <w:p>
      <w:pPr>
        <w:spacing w:before="200" w:after="40"/>
      </w:pPr>
      <w:r>
        <w:rPr>
          <w:b/>
          <w:sz w:val="22"/>
        </w:rPr>
        <w:t xml:space="preserve">[INT-02] </w:t>
      </w:r>
      <w:r>
        <w:rPr>
          <w:b/>
          <w:color w:val="E06C00"/>
          <w:sz w:val="22"/>
        </w:rPr>
        <w:t xml:space="preserve">[HIGH] </w:t>
      </w:r>
      <w:r>
        <w:rPr>
          <w:b/>
          <w:sz w:val="22"/>
        </w:rPr>
        <w:t>Graph Edge Definitions Use Magic Strings</w:t>
      </w:r>
    </w:p>
    <w:p>
      <w:pPr>
        <w:spacing w:after="40"/>
        <w:ind w:left="360"/>
      </w:pPr>
      <w:r>
        <w:t>RM Prep graph edges reference node names as hardcoded strings (e.g., 'parse_intent', 'gather_crm', 'synthesize'). The routing map (_ROUTING_MAP) also uses string intent types. A typo in an edge definition or routing key silently routes to the wrong node or falls through to the default.</w:t>
      </w:r>
    </w:p>
    <w:p>
      <w:pPr>
        <w:ind w:left="360"/>
      </w:pPr>
      <w:r>
        <w:rPr>
          <w:b/>
          <w:color w:val="1B3A5C"/>
          <w:sz w:val="20"/>
        </w:rPr>
        <w:t xml:space="preserve">Recommendation: </w:t>
      </w:r>
      <w:r>
        <w:rPr>
          <w:sz w:val="20"/>
        </w:rPr>
        <w:t>Define node names and intent types as string enums (class NodeName(str, Enum)). Use these enums in all edge definitions, routing maps, and conditional edges. The type system then catches typos at development time rather than runtime.</w:t>
      </w:r>
    </w:p>
    <w:p>
      <w:pPr>
        <w:spacing w:before="200" w:after="40"/>
      </w:pPr>
      <w:r>
        <w:rPr>
          <w:b/>
          <w:sz w:val="22"/>
        </w:rPr>
        <w:t xml:space="preserve">[INT-03] </w:t>
      </w:r>
      <w:r>
        <w:rPr>
          <w:b/>
          <w:color w:val="CC9900"/>
          <w:sz w:val="22"/>
        </w:rPr>
        <w:t xml:space="preserve">[MEDIUM] </w:t>
      </w:r>
      <w:r>
        <w:rPr>
          <w:b/>
          <w:sz w:val="22"/>
        </w:rPr>
        <w:t>Error Responses Not Standardized Across MCP Servers</w:t>
      </w:r>
    </w:p>
    <w:p>
      <w:pPr>
        <w:spacing w:after="40"/>
        <w:ind w:left="360"/>
      </w:pPr>
      <w:r>
        <w:t>Data MCP and News MCP use the platform_sdk make_error() helper (returning structured JSON errors), while Salesforce MCP and Payments MCP use a mix of make_error() and legacy 'ERROR: ...' string format. Consuming agents must handle both formats.</w:t>
      </w:r>
    </w:p>
    <w:p>
      <w:pPr>
        <w:ind w:left="360"/>
      </w:pPr>
      <w:r>
        <w:rPr>
          <w:b/>
          <w:color w:val="1B3A5C"/>
          <w:sz w:val="20"/>
        </w:rPr>
        <w:t xml:space="preserve">Recommendation: </w:t>
      </w:r>
      <w:r>
        <w:rPr>
          <w:sz w:val="20"/>
        </w:rPr>
        <w:t>Standardize all MCP servers on the make_error() format exclusively. Deprecate and remove the legacy 'ERROR: ...' string format. Update is_error_response() to only check for the JSON format. Add a response envelope type: ToolResponse(success: bool, data: Optional[dict], error: Optional[ErrorDetail]).</w:t>
      </w:r>
    </w:p>
    <w:p>
      <w:pPr>
        <w:spacing w:before="200" w:after="40"/>
      </w:pPr>
      <w:r>
        <w:rPr>
          <w:b/>
          <w:sz w:val="22"/>
        </w:rPr>
        <w:t xml:space="preserve">[INT-04] </w:t>
      </w:r>
      <w:r>
        <w:rPr>
          <w:b/>
          <w:color w:val="CC9900"/>
          <w:sz w:val="22"/>
        </w:rPr>
        <w:t xml:space="preserve">[MEDIUM] </w:t>
      </w:r>
      <w:r>
        <w:rPr>
          <w:b/>
          <w:sz w:val="22"/>
        </w:rPr>
        <w:t>Configuration Validation Absent at Startup</w:t>
      </w:r>
    </w:p>
    <w:p>
      <w:pPr>
        <w:spacing w:after="40"/>
        <w:ind w:left="360"/>
      </w:pPr>
      <w:r>
        <w:t>AgentConfig and MCPConfig dataclasses use from_env() factory methods that read environment variables with fallback defaults. There is no validation of URL formats, enum-like fields (environment, agent_role, checkpointer_type), or numeric ranges (except recursion_limit). An invalid OPA URL or unrecognized environment value causes failures at request time, not startup time.</w:t>
      </w:r>
    </w:p>
    <w:p>
      <w:pPr>
        <w:ind w:left="360"/>
      </w:pPr>
      <w:r>
        <w:rPr>
          <w:b/>
          <w:color w:val="1B3A5C"/>
          <w:sz w:val="20"/>
        </w:rPr>
        <w:t xml:space="preserve">Recommendation: </w:t>
      </w:r>
      <w:r>
        <w:rPr>
          <w:sz w:val="20"/>
        </w:rPr>
        <w:t>Add Pydantic-style validation in __post_init__: validate URL formats, restrict environment to known values (dev, staging, prod), validate agent_role against a known set, and check numeric ranges. Fail fast at startup with clear error messages if configuration is invalid.</w:t>
      </w:r>
    </w:p>
    <w:p>
      <w:r>
        <w:br w:type="page"/>
      </w:r>
    </w:p>
    <w:p>
      <w:pPr>
        <w:pStyle w:val="Heading1"/>
      </w:pPr>
      <w:r>
        <w:t>9. Detailed Findings Summary</w:t>
      </w:r>
    </w:p>
    <w:p>
      <w:pPr>
        <w:pStyle w:val="Heading2"/>
      </w:pPr>
      <w:r>
        <w:t>9.1 Findings by Severity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1008"/>
          </w:tcPr>
          <w:p>
            <w:pPr/>
            <w:r>
              <w:rPr>
                <w:b/>
                <w:sz w:val="20"/>
              </w:rPr>
              <w:t>ID</w:t>
            </w:r>
          </w:p>
        </w:tc>
        <w:tc>
          <w:tcPr>
            <w:tcW w:type="dxa" w:w="1296"/>
          </w:tcPr>
          <w:p>
            <w:pPr/>
            <w:r>
              <w:rPr>
                <w:b/>
                <w:sz w:val="20"/>
              </w:rPr>
              <w:t>Severity</w:t>
            </w:r>
          </w:p>
        </w:tc>
        <w:tc>
          <w:tcPr>
            <w:tcW w:type="dxa" w:w="1440"/>
          </w:tcPr>
          <w:p>
            <w:pPr/>
            <w:r>
              <w:rPr>
                <w:b/>
                <w:sz w:val="20"/>
              </w:rPr>
              <w:t>Category</w:t>
            </w:r>
          </w:p>
        </w:tc>
        <w:tc>
          <w:tcPr>
            <w:tcW w:type="dxa" w:w="5760"/>
          </w:tcPr>
          <w:p>
            <w:pPr/>
            <w:r>
              <w:rPr>
                <w:b/>
                <w:sz w:val="20"/>
              </w:rPr>
              <w:t>Title</w:t>
            </w:r>
          </w:p>
        </w:tc>
      </w:tr>
      <w:tr>
        <w:tc>
          <w:tcPr>
            <w:tcW w:type="dxa" w:w="1008"/>
          </w:tcPr>
          <w:p>
            <w:pPr/>
            <w:r>
              <w:rPr>
                <w:sz w:val="20"/>
              </w:rPr>
              <w:t>SEC-01</w:t>
            </w:r>
          </w:p>
        </w:tc>
        <w:tc>
          <w:tcPr>
            <w:tcW w:type="dxa" w:w="1296"/>
          </w:tcPr>
          <w:p>
            <w:pPr/>
            <w:r>
              <w:rPr>
                <w:sz w:val="20"/>
              </w:rPr>
              <w:t>CRITICAL</w:t>
            </w:r>
          </w:p>
        </w:tc>
        <w:tc>
          <w:tcPr>
            <w:tcW w:type="dxa" w:w="1440"/>
          </w:tcPr>
          <w:p>
            <w:pPr/>
            <w:r>
              <w:rPr>
                <w:sz w:val="20"/>
              </w:rPr>
              <w:t>Security</w:t>
            </w:r>
          </w:p>
        </w:tc>
        <w:tc>
          <w:tcPr>
            <w:tcW w:type="dxa" w:w="5760"/>
          </w:tcPr>
          <w:p>
            <w:pPr/>
            <w:r>
              <w:rPr>
                <w:sz w:val="20"/>
              </w:rPr>
              <w:t>Clearance inversion: empty clearance = full access</w:t>
            </w:r>
          </w:p>
        </w:tc>
      </w:tr>
      <w:tr>
        <w:tc>
          <w:tcPr>
            <w:tcW w:type="dxa" w:w="1008"/>
          </w:tcPr>
          <w:p>
            <w:pPr/>
            <w:r>
              <w:rPr>
                <w:sz w:val="20"/>
              </w:rPr>
              <w:t>SEC-02</w:t>
            </w:r>
          </w:p>
        </w:tc>
        <w:tc>
          <w:tcPr>
            <w:tcW w:type="dxa" w:w="1296"/>
          </w:tcPr>
          <w:p>
            <w:pPr/>
            <w:r>
              <w:rPr>
                <w:sz w:val="20"/>
              </w:rPr>
              <w:t>CRITICAL</w:t>
            </w:r>
          </w:p>
        </w:tc>
        <w:tc>
          <w:tcPr>
            <w:tcW w:type="dxa" w:w="1440"/>
          </w:tcPr>
          <w:p>
            <w:pPr/>
            <w:r>
              <w:rPr>
                <w:sz w:val="20"/>
              </w:rPr>
              <w:t>Security</w:t>
            </w:r>
          </w:p>
        </w:tc>
        <w:tc>
          <w:tcPr>
            <w:tcW w:type="dxa" w:w="5760"/>
          </w:tcPr>
          <w:p>
            <w:pPr/>
            <w:r>
              <w:rPr>
                <w:sz w:val="20"/>
              </w:rPr>
              <w:t>No secret rotation strategy</w:t>
            </w:r>
          </w:p>
        </w:tc>
      </w:tr>
      <w:tr>
        <w:tc>
          <w:tcPr>
            <w:tcW w:type="dxa" w:w="1008"/>
          </w:tcPr>
          <w:p>
            <w:pPr/>
            <w:r>
              <w:rPr>
                <w:sz w:val="20"/>
              </w:rPr>
              <w:t>TEST-01</w:t>
            </w:r>
          </w:p>
        </w:tc>
        <w:tc>
          <w:tcPr>
            <w:tcW w:type="dxa" w:w="1296"/>
          </w:tcPr>
          <w:p>
            <w:pPr/>
            <w:r>
              <w:rPr>
                <w:sz w:val="20"/>
              </w:rPr>
              <w:t>CRITICAL</w:t>
            </w:r>
          </w:p>
        </w:tc>
        <w:tc>
          <w:tcPr>
            <w:tcW w:type="dxa" w:w="1440"/>
          </w:tcPr>
          <w:p>
            <w:pPr/>
            <w:r>
              <w:rPr>
                <w:sz w:val="20"/>
              </w:rPr>
              <w:t>Testability</w:t>
            </w:r>
          </w:p>
        </w:tc>
        <w:tc>
          <w:tcPr>
            <w:tcW w:type="dxa" w:w="5760"/>
          </w:tcPr>
          <w:p>
            <w:pPr/>
            <w:r>
              <w:rPr>
                <w:sz w:val="20"/>
              </w:rPr>
              <w:t>No Protocol/ABC interfaces for clean mocking</w:t>
            </w:r>
          </w:p>
        </w:tc>
      </w:tr>
      <w:tr>
        <w:tc>
          <w:tcPr>
            <w:tcW w:type="dxa" w:w="1008"/>
          </w:tcPr>
          <w:p>
            <w:pPr/>
            <w:r>
              <w:rPr>
                <w:sz w:val="20"/>
              </w:rPr>
              <w:t>ROB-01</w:t>
            </w:r>
          </w:p>
        </w:tc>
        <w:tc>
          <w:tcPr>
            <w:tcW w:type="dxa" w:w="1296"/>
          </w:tcPr>
          <w:p>
            <w:pPr/>
            <w:r>
              <w:rPr>
                <w:sz w:val="20"/>
              </w:rPr>
              <w:t>CRITICAL</w:t>
            </w:r>
          </w:p>
        </w:tc>
        <w:tc>
          <w:tcPr>
            <w:tcW w:type="dxa" w:w="1440"/>
          </w:tcPr>
          <w:p>
            <w:pPr/>
            <w:r>
              <w:rPr>
                <w:sz w:val="20"/>
              </w:rPr>
              <w:t>Robustness</w:t>
            </w:r>
          </w:p>
        </w:tc>
        <w:tc>
          <w:tcPr>
            <w:tcW w:type="dxa" w:w="5760"/>
          </w:tcPr>
          <w:p>
            <w:pPr/>
            <w:r>
              <w:rPr>
                <w:sz w:val="20"/>
              </w:rPr>
              <w:t>MCP bridge startup all-or-nothing</w:t>
            </w:r>
          </w:p>
        </w:tc>
      </w:tr>
      <w:tr>
        <w:tc>
          <w:tcPr>
            <w:tcW w:type="dxa" w:w="1008"/>
          </w:tcPr>
          <w:p>
            <w:pPr/>
            <w:r>
              <w:rPr>
                <w:sz w:val="20"/>
              </w:rPr>
              <w:t>ROB-02</w:t>
            </w:r>
          </w:p>
        </w:tc>
        <w:tc>
          <w:tcPr>
            <w:tcW w:type="dxa" w:w="1296"/>
          </w:tcPr>
          <w:p>
            <w:pPr/>
            <w:r>
              <w:rPr>
                <w:sz w:val="20"/>
              </w:rPr>
              <w:t>CRITICAL</w:t>
            </w:r>
          </w:p>
        </w:tc>
        <w:tc>
          <w:tcPr>
            <w:tcW w:type="dxa" w:w="1440"/>
          </w:tcPr>
          <w:p>
            <w:pPr/>
            <w:r>
              <w:rPr>
                <w:sz w:val="20"/>
              </w:rPr>
              <w:t>Robustness</w:t>
            </w:r>
          </w:p>
        </w:tc>
        <w:tc>
          <w:tcPr>
            <w:tcW w:type="dxa" w:w="5760"/>
          </w:tcPr>
          <w:p>
            <w:pPr/>
            <w:r>
              <w:rPr>
                <w:sz w:val="20"/>
              </w:rPr>
              <w:t>No timeout on MCP tool calls</w:t>
            </w:r>
          </w:p>
        </w:tc>
      </w:tr>
      <w:tr>
        <w:tc>
          <w:tcPr>
            <w:tcW w:type="dxa" w:w="1008"/>
          </w:tcPr>
          <w:p>
            <w:pPr/>
            <w:r>
              <w:rPr>
                <w:sz w:val="20"/>
              </w:rPr>
              <w:t>SOC-01</w:t>
            </w:r>
          </w:p>
        </w:tc>
        <w:tc>
          <w:tcPr>
            <w:tcW w:type="dxa" w:w="1296"/>
          </w:tcPr>
          <w:p>
            <w:pPr/>
            <w:r>
              <w:rPr>
                <w:sz w:val="20"/>
              </w:rPr>
              <w:t>HIGH</w:t>
            </w:r>
          </w:p>
        </w:tc>
        <w:tc>
          <w:tcPr>
            <w:tcW w:type="dxa" w:w="1440"/>
          </w:tcPr>
          <w:p>
            <w:pPr/>
            <w:r>
              <w:rPr>
                <w:sz w:val="20"/>
              </w:rPr>
              <w:t>Separation</w:t>
            </w:r>
          </w:p>
        </w:tc>
        <w:tc>
          <w:tcPr>
            <w:tcW w:type="dxa" w:w="5760"/>
          </w:tcPr>
          <w:p>
            <w:pPr/>
            <w:r>
              <w:rPr>
                <w:sz w:val="20"/>
              </w:rPr>
              <w:t>MCP servers duplicate boilerplate</w:t>
            </w:r>
          </w:p>
        </w:tc>
      </w:tr>
      <w:tr>
        <w:tc>
          <w:tcPr>
            <w:tcW w:type="dxa" w:w="1008"/>
          </w:tcPr>
          <w:p>
            <w:pPr/>
            <w:r>
              <w:rPr>
                <w:sz w:val="20"/>
              </w:rPr>
              <w:t>TEST-02</w:t>
            </w:r>
          </w:p>
        </w:tc>
        <w:tc>
          <w:tcPr>
            <w:tcW w:type="dxa" w:w="1296"/>
          </w:tcPr>
          <w:p>
            <w:pPr/>
            <w:r>
              <w:rPr>
                <w:sz w:val="20"/>
              </w:rPr>
              <w:t>HIGH</w:t>
            </w:r>
          </w:p>
        </w:tc>
        <w:tc>
          <w:tcPr>
            <w:tcW w:type="dxa" w:w="1440"/>
          </w:tcPr>
          <w:p>
            <w:pPr/>
            <w:r>
              <w:rPr>
                <w:sz w:val="20"/>
              </w:rPr>
              <w:t>Testability</w:t>
            </w:r>
          </w:p>
        </w:tc>
        <w:tc>
          <w:tcPr>
            <w:tcW w:type="dxa" w:w="5760"/>
          </w:tcPr>
          <w:p>
            <w:pPr/>
            <w:r>
              <w:rPr>
                <w:sz w:val="20"/>
              </w:rPr>
              <w:t>Integration tests lack transaction isolation</w:t>
            </w:r>
          </w:p>
        </w:tc>
      </w:tr>
      <w:tr>
        <w:tc>
          <w:tcPr>
            <w:tcW w:type="dxa" w:w="1008"/>
          </w:tcPr>
          <w:p>
            <w:pPr/>
            <w:r>
              <w:rPr>
                <w:sz w:val="20"/>
              </w:rPr>
              <w:t>TEST-03</w:t>
            </w:r>
          </w:p>
        </w:tc>
        <w:tc>
          <w:tcPr>
            <w:tcW w:type="dxa" w:w="1296"/>
          </w:tcPr>
          <w:p>
            <w:pPr/>
            <w:r>
              <w:rPr>
                <w:sz w:val="20"/>
              </w:rPr>
              <w:t>HIGH</w:t>
            </w:r>
          </w:p>
        </w:tc>
        <w:tc>
          <w:tcPr>
            <w:tcW w:type="dxa" w:w="1440"/>
          </w:tcPr>
          <w:p>
            <w:pPr/>
            <w:r>
              <w:rPr>
                <w:sz w:val="20"/>
              </w:rPr>
              <w:t>Testability</w:t>
            </w:r>
          </w:p>
        </w:tc>
        <w:tc>
          <w:tcPr>
            <w:tcW w:type="dxa" w:w="5760"/>
          </w:tcPr>
          <w:p>
            <w:pPr/>
            <w:r>
              <w:rPr>
                <w:sz w:val="20"/>
              </w:rPr>
              <w:t>Graph testing requires full mock stack</w:t>
            </w:r>
          </w:p>
        </w:tc>
      </w:tr>
      <w:tr>
        <w:tc>
          <w:tcPr>
            <w:tcW w:type="dxa" w:w="1008"/>
          </w:tcPr>
          <w:p>
            <w:pPr/>
            <w:r>
              <w:rPr>
                <w:sz w:val="20"/>
              </w:rPr>
              <w:t>SEC-03</w:t>
            </w:r>
          </w:p>
        </w:tc>
        <w:tc>
          <w:tcPr>
            <w:tcW w:type="dxa" w:w="1296"/>
          </w:tcPr>
          <w:p>
            <w:pPr/>
            <w:r>
              <w:rPr>
                <w:sz w:val="20"/>
              </w:rPr>
              <w:t>HIGH</w:t>
            </w:r>
          </w:p>
        </w:tc>
        <w:tc>
          <w:tcPr>
            <w:tcW w:type="dxa" w:w="1440"/>
          </w:tcPr>
          <w:p>
            <w:pPr/>
            <w:r>
              <w:rPr>
                <w:sz w:val="20"/>
              </w:rPr>
              <w:t>Security</w:t>
            </w:r>
          </w:p>
        </w:tc>
        <w:tc>
          <w:tcPr>
            <w:tcW w:type="dxa" w:w="5760"/>
          </w:tcPr>
          <w:p>
            <w:pPr/>
            <w:r>
              <w:rPr>
                <w:sz w:val="20"/>
              </w:rPr>
              <w:t>Container images not pinned by digest</w:t>
            </w:r>
          </w:p>
        </w:tc>
      </w:tr>
      <w:tr>
        <w:tc>
          <w:tcPr>
            <w:tcW w:type="dxa" w:w="1008"/>
          </w:tcPr>
          <w:p>
            <w:pPr/>
            <w:r>
              <w:rPr>
                <w:sz w:val="20"/>
              </w:rPr>
              <w:t>SEC-04</w:t>
            </w:r>
          </w:p>
        </w:tc>
        <w:tc>
          <w:tcPr>
            <w:tcW w:type="dxa" w:w="1296"/>
          </w:tcPr>
          <w:p>
            <w:pPr/>
            <w:r>
              <w:rPr>
                <w:sz w:val="20"/>
              </w:rPr>
              <w:t>HIGH</w:t>
            </w:r>
          </w:p>
        </w:tc>
        <w:tc>
          <w:tcPr>
            <w:tcW w:type="dxa" w:w="1440"/>
          </w:tcPr>
          <w:p>
            <w:pPr/>
            <w:r>
              <w:rPr>
                <w:sz w:val="20"/>
              </w:rPr>
              <w:t>Security</w:t>
            </w:r>
          </w:p>
        </w:tc>
        <w:tc>
          <w:tcPr>
            <w:tcW w:type="dxa" w:w="5760"/>
          </w:tcPr>
          <w:p>
            <w:pPr/>
            <w:r>
              <w:rPr>
                <w:sz w:val="20"/>
              </w:rPr>
              <w:t>No network policies in Kubernetes</w:t>
            </w:r>
          </w:p>
        </w:tc>
      </w:tr>
      <w:tr>
        <w:tc>
          <w:tcPr>
            <w:tcW w:type="dxa" w:w="1008"/>
          </w:tcPr>
          <w:p>
            <w:pPr/>
            <w:r>
              <w:rPr>
                <w:sz w:val="20"/>
              </w:rPr>
              <w:t>SEC-05</w:t>
            </w:r>
          </w:p>
        </w:tc>
        <w:tc>
          <w:tcPr>
            <w:tcW w:type="dxa" w:w="1296"/>
          </w:tcPr>
          <w:p>
            <w:pPr/>
            <w:r>
              <w:rPr>
                <w:sz w:val="20"/>
              </w:rPr>
              <w:t>HIGH</w:t>
            </w:r>
          </w:p>
        </w:tc>
        <w:tc>
          <w:tcPr>
            <w:tcW w:type="dxa" w:w="1440"/>
          </w:tcPr>
          <w:p>
            <w:pPr/>
            <w:r>
              <w:rPr>
                <w:sz w:val="20"/>
              </w:rPr>
              <w:t>Security</w:t>
            </w:r>
          </w:p>
        </w:tc>
        <w:tc>
          <w:tcPr>
            <w:tcW w:type="dxa" w:w="5760"/>
          </w:tcPr>
          <w:p>
            <w:pPr/>
            <w:r>
              <w:rPr>
                <w:sz w:val="20"/>
              </w:rPr>
              <w:t>Audit log lacks encryption and retention</w:t>
            </w:r>
          </w:p>
        </w:tc>
      </w:tr>
      <w:tr>
        <w:tc>
          <w:tcPr>
            <w:tcW w:type="dxa" w:w="1008"/>
          </w:tcPr>
          <w:p>
            <w:pPr/>
            <w:r>
              <w:rPr>
                <w:sz w:val="20"/>
              </w:rPr>
              <w:t>OBS-01</w:t>
            </w:r>
          </w:p>
        </w:tc>
        <w:tc>
          <w:tcPr>
            <w:tcW w:type="dxa" w:w="1296"/>
          </w:tcPr>
          <w:p>
            <w:pPr/>
            <w:r>
              <w:rPr>
                <w:sz w:val="20"/>
              </w:rPr>
              <w:t>HIGH</w:t>
            </w:r>
          </w:p>
        </w:tc>
        <w:tc>
          <w:tcPr>
            <w:tcW w:type="dxa" w:w="1440"/>
          </w:tcPr>
          <w:p>
            <w:pPr/>
            <w:r>
              <w:rPr>
                <w:sz w:val="20"/>
              </w:rPr>
              <w:t>Observability</w:t>
            </w:r>
          </w:p>
        </w:tc>
        <w:tc>
          <w:tcPr>
            <w:tcW w:type="dxa" w:w="5760"/>
          </w:tcPr>
          <w:p>
            <w:pPr/>
            <w:r>
              <w:rPr>
                <w:sz w:val="20"/>
              </w:rPr>
              <w:t>Circuit breaker not exposed as metrics</w:t>
            </w:r>
          </w:p>
        </w:tc>
      </w:tr>
      <w:tr>
        <w:tc>
          <w:tcPr>
            <w:tcW w:type="dxa" w:w="1008"/>
          </w:tcPr>
          <w:p>
            <w:pPr/>
            <w:r>
              <w:rPr>
                <w:sz w:val="20"/>
              </w:rPr>
              <w:t>ROB-03</w:t>
            </w:r>
          </w:p>
        </w:tc>
        <w:tc>
          <w:tcPr>
            <w:tcW w:type="dxa" w:w="1296"/>
          </w:tcPr>
          <w:p>
            <w:pPr/>
            <w:r>
              <w:rPr>
                <w:sz w:val="20"/>
              </w:rPr>
              <w:t>HIGH</w:t>
            </w:r>
          </w:p>
        </w:tc>
        <w:tc>
          <w:tcPr>
            <w:tcW w:type="dxa" w:w="1440"/>
          </w:tcPr>
          <w:p>
            <w:pPr/>
            <w:r>
              <w:rPr>
                <w:sz w:val="20"/>
              </w:rPr>
              <w:t>Robustness</w:t>
            </w:r>
          </w:p>
        </w:tc>
        <w:tc>
          <w:tcPr>
            <w:tcW w:type="dxa" w:w="5760"/>
          </w:tcPr>
          <w:p>
            <w:pPr/>
            <w:r>
              <w:rPr>
                <w:sz w:val="20"/>
              </w:rPr>
              <w:t>No retry/dead-letter for failed tool calls</w:t>
            </w:r>
          </w:p>
        </w:tc>
      </w:tr>
      <w:tr>
        <w:tc>
          <w:tcPr>
            <w:tcW w:type="dxa" w:w="1008"/>
          </w:tcPr>
          <w:p>
            <w:pPr/>
            <w:r>
              <w:rPr>
                <w:sz w:val="20"/>
              </w:rPr>
              <w:t>ROB-04</w:t>
            </w:r>
          </w:p>
        </w:tc>
        <w:tc>
          <w:tcPr>
            <w:tcW w:type="dxa" w:w="1296"/>
          </w:tcPr>
          <w:p>
            <w:pPr/>
            <w:r>
              <w:rPr>
                <w:sz w:val="20"/>
              </w:rPr>
              <w:t>HIGH</w:t>
            </w:r>
          </w:p>
        </w:tc>
        <w:tc>
          <w:tcPr>
            <w:tcW w:type="dxa" w:w="1440"/>
          </w:tcPr>
          <w:p>
            <w:pPr/>
            <w:r>
              <w:rPr>
                <w:sz w:val="20"/>
              </w:rPr>
              <w:t>Robustness</w:t>
            </w:r>
          </w:p>
        </w:tc>
        <w:tc>
          <w:tcPr>
            <w:tcW w:type="dxa" w:w="5760"/>
          </w:tcPr>
          <w:p>
            <w:pPr/>
            <w:r>
              <w:rPr>
                <w:sz w:val="20"/>
              </w:rPr>
              <w:t>State schema evolution not supported</w:t>
            </w:r>
          </w:p>
        </w:tc>
      </w:tr>
      <w:tr>
        <w:tc>
          <w:tcPr>
            <w:tcW w:type="dxa" w:w="1008"/>
          </w:tcPr>
          <w:p>
            <w:pPr/>
            <w:r>
              <w:rPr>
                <w:sz w:val="20"/>
              </w:rPr>
              <w:t>INT-01</w:t>
            </w:r>
          </w:p>
        </w:tc>
        <w:tc>
          <w:tcPr>
            <w:tcW w:type="dxa" w:w="1296"/>
          </w:tcPr>
          <w:p>
            <w:pPr/>
            <w:r>
              <w:rPr>
                <w:sz w:val="20"/>
              </w:rPr>
              <w:t>HIGH</w:t>
            </w:r>
          </w:p>
        </w:tc>
        <w:tc>
          <w:tcPr>
            <w:tcW w:type="dxa" w:w="1440"/>
          </w:tcPr>
          <w:p>
            <w:pPr/>
            <w:r>
              <w:rPr>
                <w:sz w:val="20"/>
              </w:rPr>
              <w:t>Integration</w:t>
            </w:r>
          </w:p>
        </w:tc>
        <w:tc>
          <w:tcPr>
            <w:tcW w:type="dxa" w:w="5760"/>
          </w:tcPr>
          <w:p>
            <w:pPr/>
            <w:r>
              <w:rPr>
                <w:sz w:val="20"/>
              </w:rPr>
              <w:t>Implicit JSON contracts between services</w:t>
            </w:r>
          </w:p>
        </w:tc>
      </w:tr>
      <w:tr>
        <w:tc>
          <w:tcPr>
            <w:tcW w:type="dxa" w:w="1008"/>
          </w:tcPr>
          <w:p>
            <w:pPr/>
            <w:r>
              <w:rPr>
                <w:sz w:val="20"/>
              </w:rPr>
              <w:t>INT-02</w:t>
            </w:r>
          </w:p>
        </w:tc>
        <w:tc>
          <w:tcPr>
            <w:tcW w:type="dxa" w:w="1296"/>
          </w:tcPr>
          <w:p>
            <w:pPr/>
            <w:r>
              <w:rPr>
                <w:sz w:val="20"/>
              </w:rPr>
              <w:t>HIGH</w:t>
            </w:r>
          </w:p>
        </w:tc>
        <w:tc>
          <w:tcPr>
            <w:tcW w:type="dxa" w:w="1440"/>
          </w:tcPr>
          <w:p>
            <w:pPr/>
            <w:r>
              <w:rPr>
                <w:sz w:val="20"/>
              </w:rPr>
              <w:t>Integration</w:t>
            </w:r>
          </w:p>
        </w:tc>
        <w:tc>
          <w:tcPr>
            <w:tcW w:type="dxa" w:w="5760"/>
          </w:tcPr>
          <w:p>
            <w:pPr/>
            <w:r>
              <w:rPr>
                <w:sz w:val="20"/>
              </w:rPr>
              <w:t>Graph edges use magic strings</w:t>
            </w:r>
          </w:p>
        </w:tc>
      </w:tr>
      <w:tr>
        <w:tc>
          <w:tcPr>
            <w:tcW w:type="dxa" w:w="1008"/>
          </w:tcPr>
          <w:p>
            <w:pPr/>
            <w:r>
              <w:rPr>
                <w:sz w:val="20"/>
              </w:rPr>
              <w:t>SOC-02</w:t>
            </w:r>
          </w:p>
        </w:tc>
        <w:tc>
          <w:tcPr>
            <w:tcW w:type="dxa" w:w="1296"/>
          </w:tcPr>
          <w:p>
            <w:pPr/>
            <w:r>
              <w:rPr>
                <w:sz w:val="20"/>
              </w:rPr>
              <w:t>MEDIUM</w:t>
            </w:r>
          </w:p>
        </w:tc>
        <w:tc>
          <w:tcPr>
            <w:tcW w:type="dxa" w:w="1440"/>
          </w:tcPr>
          <w:p>
            <w:pPr/>
            <w:r>
              <w:rPr>
                <w:sz w:val="20"/>
              </w:rPr>
              <w:t>Separation</w:t>
            </w:r>
          </w:p>
        </w:tc>
        <w:tc>
          <w:tcPr>
            <w:tcW w:type="dxa" w:w="5760"/>
          </w:tcPr>
          <w:p>
            <w:pPr/>
            <w:r>
              <w:rPr>
                <w:sz w:val="20"/>
              </w:rPr>
              <w:t>Orchestrator mixes infra with business logic</w:t>
            </w:r>
          </w:p>
        </w:tc>
      </w:tr>
      <w:tr>
        <w:tc>
          <w:tcPr>
            <w:tcW w:type="dxa" w:w="1008"/>
          </w:tcPr>
          <w:p>
            <w:pPr/>
            <w:r>
              <w:rPr>
                <w:sz w:val="20"/>
              </w:rPr>
              <w:t>SOC-03</w:t>
            </w:r>
          </w:p>
        </w:tc>
        <w:tc>
          <w:tcPr>
            <w:tcW w:type="dxa" w:w="1296"/>
          </w:tcPr>
          <w:p>
            <w:pPr/>
            <w:r>
              <w:rPr>
                <w:sz w:val="20"/>
              </w:rPr>
              <w:t>MEDIUM</w:t>
            </w:r>
          </w:p>
        </w:tc>
        <w:tc>
          <w:tcPr>
            <w:tcW w:type="dxa" w:w="1440"/>
          </w:tcPr>
          <w:p>
            <w:pPr/>
            <w:r>
              <w:rPr>
                <w:sz w:val="20"/>
              </w:rPr>
              <w:t>Separation</w:t>
            </w:r>
          </w:p>
        </w:tc>
        <w:tc>
          <w:tcPr>
            <w:tcW w:type="dxa" w:w="5760"/>
          </w:tcPr>
          <w:p>
            <w:pPr/>
            <w:r>
              <w:rPr>
                <w:sz w:val="20"/>
              </w:rPr>
              <w:t>Duplicate health probe endpoints</w:t>
            </w:r>
          </w:p>
        </w:tc>
      </w:tr>
      <w:tr>
        <w:tc>
          <w:tcPr>
            <w:tcW w:type="dxa" w:w="1008"/>
          </w:tcPr>
          <w:p>
            <w:pPr/>
            <w:r>
              <w:rPr>
                <w:sz w:val="20"/>
              </w:rPr>
              <w:t>SOC-04</w:t>
            </w:r>
          </w:p>
        </w:tc>
        <w:tc>
          <w:tcPr>
            <w:tcW w:type="dxa" w:w="1296"/>
          </w:tcPr>
          <w:p>
            <w:pPr/>
            <w:r>
              <w:rPr>
                <w:sz w:val="20"/>
              </w:rPr>
              <w:t>MEDIUM</w:t>
            </w:r>
          </w:p>
        </w:tc>
        <w:tc>
          <w:tcPr>
            <w:tcW w:type="dxa" w:w="1440"/>
          </w:tcPr>
          <w:p>
            <w:pPr/>
            <w:r>
              <w:rPr>
                <w:sz w:val="20"/>
              </w:rPr>
              <w:t>Separation</w:t>
            </w:r>
          </w:p>
        </w:tc>
        <w:tc>
          <w:tcPr>
            <w:tcW w:type="dxa" w:w="5760"/>
          </w:tcPr>
          <w:p>
            <w:pPr/>
            <w:r>
              <w:rPr>
                <w:sz w:val="20"/>
              </w:rPr>
              <w:t>Prompt templates not validated at startup</w:t>
            </w:r>
          </w:p>
        </w:tc>
      </w:tr>
      <w:tr>
        <w:tc>
          <w:tcPr>
            <w:tcW w:type="dxa" w:w="1008"/>
          </w:tcPr>
          <w:p>
            <w:pPr/>
            <w:r>
              <w:rPr>
                <w:sz w:val="20"/>
              </w:rPr>
              <w:t>TEST-04</w:t>
            </w:r>
          </w:p>
        </w:tc>
        <w:tc>
          <w:tcPr>
            <w:tcW w:type="dxa" w:w="1296"/>
          </w:tcPr>
          <w:p>
            <w:pPr/>
            <w:r>
              <w:rPr>
                <w:sz w:val="20"/>
              </w:rPr>
              <w:t>MEDIUM</w:t>
            </w:r>
          </w:p>
        </w:tc>
        <w:tc>
          <w:tcPr>
            <w:tcW w:type="dxa" w:w="1440"/>
          </w:tcPr>
          <w:p>
            <w:pPr/>
            <w:r>
              <w:rPr>
                <w:sz w:val="20"/>
              </w:rPr>
              <w:t>Testability</w:t>
            </w:r>
          </w:p>
        </w:tc>
        <w:tc>
          <w:tcPr>
            <w:tcW w:type="dxa" w:w="5760"/>
          </w:tcPr>
          <w:p>
            <w:pPr/>
            <w:r>
              <w:rPr>
                <w:sz w:val="20"/>
              </w:rPr>
              <w:t>No contract tests</w:t>
            </w:r>
          </w:p>
        </w:tc>
      </w:tr>
      <w:tr>
        <w:tc>
          <w:tcPr>
            <w:tcW w:type="dxa" w:w="1008"/>
          </w:tcPr>
          <w:p>
            <w:pPr/>
            <w:r>
              <w:rPr>
                <w:sz w:val="20"/>
              </w:rPr>
              <w:t>TEST-05</w:t>
            </w:r>
          </w:p>
        </w:tc>
        <w:tc>
          <w:tcPr>
            <w:tcW w:type="dxa" w:w="1296"/>
          </w:tcPr>
          <w:p>
            <w:pPr/>
            <w:r>
              <w:rPr>
                <w:sz w:val="20"/>
              </w:rPr>
              <w:t>MEDIUM</w:t>
            </w:r>
          </w:p>
        </w:tc>
        <w:tc>
          <w:tcPr>
            <w:tcW w:type="dxa" w:w="1440"/>
          </w:tcPr>
          <w:p>
            <w:pPr/>
            <w:r>
              <w:rPr>
                <w:sz w:val="20"/>
              </w:rPr>
              <w:t>Testability</w:t>
            </w:r>
          </w:p>
        </w:tc>
        <w:tc>
          <w:tcPr>
            <w:tcW w:type="dxa" w:w="5760"/>
          </w:tcPr>
          <w:p>
            <w:pPr/>
            <w:r>
              <w:rPr>
                <w:sz w:val="20"/>
              </w:rPr>
              <w:t>Eval tests missing error-case fixtures</w:t>
            </w:r>
          </w:p>
        </w:tc>
      </w:tr>
      <w:tr>
        <w:tc>
          <w:tcPr>
            <w:tcW w:type="dxa" w:w="1008"/>
          </w:tcPr>
          <w:p>
            <w:pPr/>
            <w:r>
              <w:rPr>
                <w:sz w:val="20"/>
              </w:rPr>
              <w:t>SEC-06</w:t>
            </w:r>
          </w:p>
        </w:tc>
        <w:tc>
          <w:tcPr>
            <w:tcW w:type="dxa" w:w="1296"/>
          </w:tcPr>
          <w:p>
            <w:pPr/>
            <w:r>
              <w:rPr>
                <w:sz w:val="20"/>
              </w:rPr>
              <w:t>MEDIUM</w:t>
            </w:r>
          </w:p>
        </w:tc>
        <w:tc>
          <w:tcPr>
            <w:tcW w:type="dxa" w:w="1440"/>
          </w:tcPr>
          <w:p>
            <w:pPr/>
            <w:r>
              <w:rPr>
                <w:sz w:val="20"/>
              </w:rPr>
              <w:t>Security</w:t>
            </w:r>
          </w:p>
        </w:tc>
        <w:tc>
          <w:tcPr>
            <w:tcW w:type="dxa" w:w="5760"/>
          </w:tcPr>
          <w:p>
            <w:pPr/>
            <w:r>
              <w:rPr>
                <w:sz w:val="20"/>
              </w:rPr>
              <w:t>OPA dev bypass rule still in codebase</w:t>
            </w:r>
          </w:p>
        </w:tc>
      </w:tr>
      <w:tr>
        <w:tc>
          <w:tcPr>
            <w:tcW w:type="dxa" w:w="1008"/>
          </w:tcPr>
          <w:p>
            <w:pPr/>
            <w:r>
              <w:rPr>
                <w:sz w:val="20"/>
              </w:rPr>
              <w:t>SEC-07</w:t>
            </w:r>
          </w:p>
        </w:tc>
        <w:tc>
          <w:tcPr>
            <w:tcW w:type="dxa" w:w="1296"/>
          </w:tcPr>
          <w:p>
            <w:pPr/>
            <w:r>
              <w:rPr>
                <w:sz w:val="20"/>
              </w:rPr>
              <w:t>MEDIUM</w:t>
            </w:r>
          </w:p>
        </w:tc>
        <w:tc>
          <w:tcPr>
            <w:tcW w:type="dxa" w:w="1440"/>
          </w:tcPr>
          <w:p>
            <w:pPr/>
            <w:r>
              <w:rPr>
                <w:sz w:val="20"/>
              </w:rPr>
              <w:t>Security</w:t>
            </w:r>
          </w:p>
        </w:tc>
        <w:tc>
          <w:tcPr>
            <w:tcW w:type="dxa" w:w="5760"/>
          </w:tcPr>
          <w:p>
            <w:pPr/>
            <w:r>
              <w:rPr>
                <w:sz w:val="20"/>
              </w:rPr>
              <w:t>No pod security context in Helm</w:t>
            </w:r>
          </w:p>
        </w:tc>
      </w:tr>
      <w:tr>
        <w:tc>
          <w:tcPr>
            <w:tcW w:type="dxa" w:w="1008"/>
          </w:tcPr>
          <w:p>
            <w:pPr/>
            <w:r>
              <w:rPr>
                <w:sz w:val="20"/>
              </w:rPr>
              <w:t>OBS-02</w:t>
            </w:r>
          </w:p>
        </w:tc>
        <w:tc>
          <w:tcPr>
            <w:tcW w:type="dxa" w:w="1296"/>
          </w:tcPr>
          <w:p>
            <w:pPr/>
            <w:r>
              <w:rPr>
                <w:sz w:val="20"/>
              </w:rPr>
              <w:t>MEDIUM</w:t>
            </w:r>
          </w:p>
        </w:tc>
        <w:tc>
          <w:tcPr>
            <w:tcW w:type="dxa" w:w="1440"/>
          </w:tcPr>
          <w:p>
            <w:pPr/>
            <w:r>
              <w:rPr>
                <w:sz w:val="20"/>
              </w:rPr>
              <w:t>Observability</w:t>
            </w:r>
          </w:p>
        </w:tc>
        <w:tc>
          <w:tcPr>
            <w:tcW w:type="dxa" w:w="5760"/>
          </w:tcPr>
          <w:p>
            <w:pPr/>
            <w:r>
              <w:rPr>
                <w:sz w:val="20"/>
              </w:rPr>
              <w:t>No SLO dashboards or alerting</w:t>
            </w:r>
          </w:p>
        </w:tc>
      </w:tr>
      <w:tr>
        <w:tc>
          <w:tcPr>
            <w:tcW w:type="dxa" w:w="1008"/>
          </w:tcPr>
          <w:p>
            <w:pPr/>
            <w:r>
              <w:rPr>
                <w:sz w:val="20"/>
              </w:rPr>
              <w:t>OBS-03</w:t>
            </w:r>
          </w:p>
        </w:tc>
        <w:tc>
          <w:tcPr>
            <w:tcW w:type="dxa" w:w="1296"/>
          </w:tcPr>
          <w:p>
            <w:pPr/>
            <w:r>
              <w:rPr>
                <w:sz w:val="20"/>
              </w:rPr>
              <w:t>MEDIUM</w:t>
            </w:r>
          </w:p>
        </w:tc>
        <w:tc>
          <w:tcPr>
            <w:tcW w:type="dxa" w:w="1440"/>
          </w:tcPr>
          <w:p>
            <w:pPr/>
            <w:r>
              <w:rPr>
                <w:sz w:val="20"/>
              </w:rPr>
              <w:t>Observability</w:t>
            </w:r>
          </w:p>
        </w:tc>
        <w:tc>
          <w:tcPr>
            <w:tcW w:type="dxa" w:w="5760"/>
          </w:tcPr>
          <w:p>
            <w:pPr/>
            <w:r>
              <w:rPr>
                <w:sz w:val="20"/>
              </w:rPr>
              <w:t>Auth fallback not audited</w:t>
            </w:r>
          </w:p>
        </w:tc>
      </w:tr>
      <w:tr>
        <w:tc>
          <w:tcPr>
            <w:tcW w:type="dxa" w:w="1008"/>
          </w:tcPr>
          <w:p>
            <w:pPr/>
            <w:r>
              <w:rPr>
                <w:sz w:val="20"/>
              </w:rPr>
              <w:t>ROB-05</w:t>
            </w:r>
          </w:p>
        </w:tc>
        <w:tc>
          <w:tcPr>
            <w:tcW w:type="dxa" w:w="1296"/>
          </w:tcPr>
          <w:p>
            <w:pPr/>
            <w:r>
              <w:rPr>
                <w:sz w:val="20"/>
              </w:rPr>
              <w:t>MEDIUM</w:t>
            </w:r>
          </w:p>
        </w:tc>
        <w:tc>
          <w:tcPr>
            <w:tcW w:type="dxa" w:w="1440"/>
          </w:tcPr>
          <w:p>
            <w:pPr/>
            <w:r>
              <w:rPr>
                <w:sz w:val="20"/>
              </w:rPr>
              <w:t>Robustness</w:t>
            </w:r>
          </w:p>
        </w:tc>
        <w:tc>
          <w:tcPr>
            <w:tcW w:type="dxa" w:w="5760"/>
          </w:tcPr>
          <w:p>
            <w:pPr/>
            <w:r>
              <w:rPr>
                <w:sz w:val="20"/>
              </w:rPr>
              <w:t>Hardcoded resilience parameters</w:t>
            </w:r>
          </w:p>
        </w:tc>
      </w:tr>
      <w:tr>
        <w:tc>
          <w:tcPr>
            <w:tcW w:type="dxa" w:w="1008"/>
          </w:tcPr>
          <w:p>
            <w:pPr/>
            <w:r>
              <w:rPr>
                <w:sz w:val="20"/>
              </w:rPr>
              <w:t>ROB-06</w:t>
            </w:r>
          </w:p>
        </w:tc>
        <w:tc>
          <w:tcPr>
            <w:tcW w:type="dxa" w:w="1296"/>
          </w:tcPr>
          <w:p>
            <w:pPr/>
            <w:r>
              <w:rPr>
                <w:sz w:val="20"/>
              </w:rPr>
              <w:t>MEDIUM</w:t>
            </w:r>
          </w:p>
        </w:tc>
        <w:tc>
          <w:tcPr>
            <w:tcW w:type="dxa" w:w="1440"/>
          </w:tcPr>
          <w:p>
            <w:pPr/>
            <w:r>
              <w:rPr>
                <w:sz w:val="20"/>
              </w:rPr>
              <w:t>Robustness</w:t>
            </w:r>
          </w:p>
        </w:tc>
        <w:tc>
          <w:tcPr>
            <w:tcW w:type="dxa" w:w="5760"/>
          </w:tcPr>
          <w:p>
            <w:pPr/>
            <w:r>
              <w:rPr>
                <w:sz w:val="20"/>
              </w:rPr>
              <w:t>No self-healing for OPA failures</w:t>
            </w:r>
          </w:p>
        </w:tc>
      </w:tr>
      <w:tr>
        <w:tc>
          <w:tcPr>
            <w:tcW w:type="dxa" w:w="1008"/>
          </w:tcPr>
          <w:p>
            <w:pPr/>
            <w:r>
              <w:rPr>
                <w:sz w:val="20"/>
              </w:rPr>
              <w:t>INT-03</w:t>
            </w:r>
          </w:p>
        </w:tc>
        <w:tc>
          <w:tcPr>
            <w:tcW w:type="dxa" w:w="1296"/>
          </w:tcPr>
          <w:p>
            <w:pPr/>
            <w:r>
              <w:rPr>
                <w:sz w:val="20"/>
              </w:rPr>
              <w:t>MEDIUM</w:t>
            </w:r>
          </w:p>
        </w:tc>
        <w:tc>
          <w:tcPr>
            <w:tcW w:type="dxa" w:w="1440"/>
          </w:tcPr>
          <w:p>
            <w:pPr/>
            <w:r>
              <w:rPr>
                <w:sz w:val="20"/>
              </w:rPr>
              <w:t>Integration</w:t>
            </w:r>
          </w:p>
        </w:tc>
        <w:tc>
          <w:tcPr>
            <w:tcW w:type="dxa" w:w="5760"/>
          </w:tcPr>
          <w:p>
            <w:pPr/>
            <w:r>
              <w:rPr>
                <w:sz w:val="20"/>
              </w:rPr>
              <w:t>Error responses not standardized</w:t>
            </w:r>
          </w:p>
        </w:tc>
      </w:tr>
      <w:tr>
        <w:tc>
          <w:tcPr>
            <w:tcW w:type="dxa" w:w="1008"/>
          </w:tcPr>
          <w:p>
            <w:pPr/>
            <w:r>
              <w:rPr>
                <w:sz w:val="20"/>
              </w:rPr>
              <w:t>INT-04</w:t>
            </w:r>
          </w:p>
        </w:tc>
        <w:tc>
          <w:tcPr>
            <w:tcW w:type="dxa" w:w="1296"/>
          </w:tcPr>
          <w:p>
            <w:pPr/>
            <w:r>
              <w:rPr>
                <w:sz w:val="20"/>
              </w:rPr>
              <w:t>MEDIUM</w:t>
            </w:r>
          </w:p>
        </w:tc>
        <w:tc>
          <w:tcPr>
            <w:tcW w:type="dxa" w:w="1440"/>
          </w:tcPr>
          <w:p>
            <w:pPr/>
            <w:r>
              <w:rPr>
                <w:sz w:val="20"/>
              </w:rPr>
              <w:t>Integration</w:t>
            </w:r>
          </w:p>
        </w:tc>
        <w:tc>
          <w:tcPr>
            <w:tcW w:type="dxa" w:w="5760"/>
          </w:tcPr>
          <w:p>
            <w:pPr/>
            <w:r>
              <w:rPr>
                <w:sz w:val="20"/>
              </w:rPr>
              <w:t>Config validation absent at startup</w:t>
            </w:r>
          </w:p>
        </w:tc>
      </w:tr>
      <w:tr>
        <w:tc>
          <w:tcPr>
            <w:tcW w:type="dxa" w:w="1008"/>
          </w:tcPr>
          <w:p>
            <w:pPr/>
            <w:r>
              <w:rPr>
                <w:sz w:val="20"/>
              </w:rPr>
              <w:t>TEST-06</w:t>
            </w:r>
          </w:p>
        </w:tc>
        <w:tc>
          <w:tcPr>
            <w:tcW w:type="dxa" w:w="1296"/>
          </w:tcPr>
          <w:p>
            <w:pPr/>
            <w:r>
              <w:rPr>
                <w:sz w:val="20"/>
              </w:rPr>
              <w:t>LOW</w:t>
            </w:r>
          </w:p>
        </w:tc>
        <w:tc>
          <w:tcPr>
            <w:tcW w:type="dxa" w:w="1440"/>
          </w:tcPr>
          <w:p>
            <w:pPr/>
            <w:r>
              <w:rPr>
                <w:sz w:val="20"/>
              </w:rPr>
              <w:t>Testability</w:t>
            </w:r>
          </w:p>
        </w:tc>
        <w:tc>
          <w:tcPr>
            <w:tcW w:type="dxa" w:w="5760"/>
          </w:tcPr>
          <w:p>
            <w:pPr/>
            <w:r>
              <w:rPr>
                <w:sz w:val="20"/>
              </w:rPr>
              <w:t>No coverage gate in CI</w:t>
            </w:r>
          </w:p>
        </w:tc>
      </w:tr>
      <w:tr>
        <w:tc>
          <w:tcPr>
            <w:tcW w:type="dxa" w:w="1008"/>
          </w:tcPr>
          <w:p>
            <w:pPr/>
            <w:r>
              <w:rPr>
                <w:sz w:val="20"/>
              </w:rPr>
              <w:t>OBS-04</w:t>
            </w:r>
          </w:p>
        </w:tc>
        <w:tc>
          <w:tcPr>
            <w:tcW w:type="dxa" w:w="1296"/>
          </w:tcPr>
          <w:p>
            <w:pPr/>
            <w:r>
              <w:rPr>
                <w:sz w:val="20"/>
              </w:rPr>
              <w:t>LOW</w:t>
            </w:r>
          </w:p>
        </w:tc>
        <w:tc>
          <w:tcPr>
            <w:tcW w:type="dxa" w:w="1440"/>
          </w:tcPr>
          <w:p>
            <w:pPr/>
            <w:r>
              <w:rPr>
                <w:sz w:val="20"/>
              </w:rPr>
              <w:t>Observability</w:t>
            </w:r>
          </w:p>
        </w:tc>
        <w:tc>
          <w:tcPr>
            <w:tcW w:type="dxa" w:w="5760"/>
          </w:tcPr>
          <w:p>
            <w:pPr/>
            <w:r>
              <w:rPr>
                <w:sz w:val="20"/>
              </w:rPr>
              <w:t>No distributed tracing for MCP calls</w:t>
            </w:r>
          </w:p>
        </w:tc>
      </w:tr>
      <w:tr>
        <w:tc>
          <w:tcPr>
            <w:tcW w:type="dxa" w:w="1008"/>
          </w:tcPr>
          <w:p>
            <w:pPr/>
            <w:r>
              <w:rPr>
                <w:sz w:val="20"/>
              </w:rPr>
              <w:t>ROB-07</w:t>
            </w:r>
          </w:p>
        </w:tc>
        <w:tc>
          <w:tcPr>
            <w:tcW w:type="dxa" w:w="1296"/>
          </w:tcPr>
          <w:p>
            <w:pPr/>
            <w:r>
              <w:rPr>
                <w:sz w:val="20"/>
              </w:rPr>
              <w:t>LOW</w:t>
            </w:r>
          </w:p>
        </w:tc>
        <w:tc>
          <w:tcPr>
            <w:tcW w:type="dxa" w:w="1440"/>
          </w:tcPr>
          <w:p>
            <w:pPr/>
            <w:r>
              <w:rPr>
                <w:sz w:val="20"/>
              </w:rPr>
              <w:t>Robustness</w:t>
            </w:r>
          </w:p>
        </w:tc>
        <w:tc>
          <w:tcPr>
            <w:tcW w:type="dxa" w:w="5760"/>
          </w:tcPr>
          <w:p>
            <w:pPr/>
            <w:r>
              <w:rPr>
                <w:sz w:val="20"/>
              </w:rPr>
              <w:t>Cache format lacks versioning</w:t>
            </w:r>
          </w:p>
        </w:tc>
      </w:tr>
    </w:tbl>
    <w:p>
      <w:r>
        <w:br w:type="page"/>
      </w:r>
    </w:p>
    <w:p>
      <w:pPr>
        <w:pStyle w:val="Heading1"/>
      </w:pPr>
      <w:r>
        <w:t>10. Implementation Roadmap</w:t>
      </w:r>
    </w:p>
    <w:p>
      <w:pPr>
        <w:pStyle w:val="Heading2"/>
      </w:pPr>
      <w:r>
        <w:t>Phase 1: Foundations (Weeks 1–4)</w:t>
      </w:r>
    </w:p>
    <w:p>
      <w:r>
        <w:t>Focus: Address critical security and robustness gaps that pose immediate risk.</w:t>
      </w:r>
    </w:p>
    <w:tbl>
      <w:tblPr>
        <w:tblStyle w:val="LightGrid-Accent1"/>
        <w:tblW w:type="auto" w:w="0"/>
        <w:jc w:val="center"/>
        <w:tblLook w:firstColumn="1" w:firstRow="1" w:lastColumn="0" w:lastRow="0" w:noHBand="0" w:noVBand="1" w:val="04A0"/>
      </w:tblPr>
      <w:tblGrid>
        <w:gridCol w:w="3120"/>
        <w:gridCol w:w="3120"/>
        <w:gridCol w:w="3120"/>
      </w:tblGrid>
      <w:tr>
        <w:tc>
          <w:tcPr>
            <w:tcW w:type="dxa" w:w="864"/>
          </w:tcPr>
          <w:p>
            <w:pPr/>
            <w:r>
              <w:rPr>
                <w:b/>
                <w:sz w:val="20"/>
              </w:rPr>
              <w:t>Week</w:t>
            </w:r>
          </w:p>
        </w:tc>
        <w:tc>
          <w:tcPr>
            <w:tcW w:type="dxa" w:w="1152"/>
          </w:tcPr>
          <w:p>
            <w:pPr/>
            <w:r>
              <w:rPr>
                <w:b/>
                <w:sz w:val="20"/>
              </w:rPr>
              <w:t>Finding</w:t>
            </w:r>
          </w:p>
        </w:tc>
        <w:tc>
          <w:tcPr>
            <w:tcW w:type="dxa" w:w="7488"/>
          </w:tcPr>
          <w:p>
            <w:pPr/>
            <w:r>
              <w:rPr>
                <w:b/>
                <w:sz w:val="20"/>
              </w:rPr>
              <w:t>Deliverable</w:t>
            </w:r>
          </w:p>
        </w:tc>
      </w:tr>
      <w:tr>
        <w:tc>
          <w:tcPr>
            <w:tcW w:type="dxa" w:w="864"/>
          </w:tcPr>
          <w:p>
            <w:pPr/>
            <w:r>
              <w:rPr>
                <w:sz w:val="20"/>
              </w:rPr>
              <w:t>1</w:t>
            </w:r>
          </w:p>
        </w:tc>
        <w:tc>
          <w:tcPr>
            <w:tcW w:type="dxa" w:w="1152"/>
          </w:tcPr>
          <w:p>
            <w:pPr/>
            <w:r>
              <w:rPr>
                <w:sz w:val="20"/>
              </w:rPr>
              <w:t>SEC-01</w:t>
            </w:r>
          </w:p>
        </w:tc>
        <w:tc>
          <w:tcPr>
            <w:tcW w:type="dxa" w:w="7488"/>
          </w:tcPr>
          <w:p>
            <w:pPr/>
            <w:r>
              <w:rPr>
                <w:sz w:val="20"/>
              </w:rPr>
              <w:t>Clearance inversion fix: default empty clearance to ('standard',); unit tests</w:t>
            </w:r>
          </w:p>
        </w:tc>
      </w:tr>
      <w:tr>
        <w:tc>
          <w:tcPr>
            <w:tcW w:type="dxa" w:w="864"/>
          </w:tcPr>
          <w:p>
            <w:pPr/>
            <w:r>
              <w:rPr>
                <w:sz w:val="20"/>
              </w:rPr>
              <w:t>1</w:t>
            </w:r>
          </w:p>
        </w:tc>
        <w:tc>
          <w:tcPr>
            <w:tcW w:type="dxa" w:w="1152"/>
          </w:tcPr>
          <w:p>
            <w:pPr/>
            <w:r>
              <w:rPr>
                <w:sz w:val="20"/>
              </w:rPr>
              <w:t>ROB-02</w:t>
            </w:r>
          </w:p>
        </w:tc>
        <w:tc>
          <w:tcPr>
            <w:tcW w:type="dxa" w:w="7488"/>
          </w:tcPr>
          <w:p>
            <w:pPr/>
            <w:r>
              <w:rPr>
                <w:sz w:val="20"/>
              </w:rPr>
              <w:t>Add asyncio.wait_for timeout to MCPToolBridge.call_tool(); configurable via MCPConfig</w:t>
            </w:r>
          </w:p>
        </w:tc>
      </w:tr>
      <w:tr>
        <w:tc>
          <w:tcPr>
            <w:tcW w:type="dxa" w:w="864"/>
          </w:tcPr>
          <w:p>
            <w:pPr/>
            <w:r>
              <w:rPr>
                <w:sz w:val="20"/>
              </w:rPr>
              <w:t>2</w:t>
            </w:r>
          </w:p>
        </w:tc>
        <w:tc>
          <w:tcPr>
            <w:tcW w:type="dxa" w:w="1152"/>
          </w:tcPr>
          <w:p>
            <w:pPr/>
            <w:r>
              <w:rPr>
                <w:sz w:val="20"/>
              </w:rPr>
              <w:t>TEST-01</w:t>
            </w:r>
          </w:p>
        </w:tc>
        <w:tc>
          <w:tcPr>
            <w:tcW w:type="dxa" w:w="7488"/>
          </w:tcPr>
          <w:p>
            <w:pPr/>
            <w:r>
              <w:rPr>
                <w:sz w:val="20"/>
              </w:rPr>
              <w:t>Define Protocol classes: Authorizer, CacheStore, LLMClient, ToolBridge in platform_sdk</w:t>
            </w:r>
          </w:p>
        </w:tc>
      </w:tr>
      <w:tr>
        <w:tc>
          <w:tcPr>
            <w:tcW w:type="dxa" w:w="864"/>
          </w:tcPr>
          <w:p>
            <w:pPr/>
            <w:r>
              <w:rPr>
                <w:sz w:val="20"/>
              </w:rPr>
              <w:t>2</w:t>
            </w:r>
          </w:p>
        </w:tc>
        <w:tc>
          <w:tcPr>
            <w:tcW w:type="dxa" w:w="1152"/>
          </w:tcPr>
          <w:p>
            <w:pPr/>
            <w:r>
              <w:rPr>
                <w:sz w:val="20"/>
              </w:rPr>
              <w:t>TEST-01</w:t>
            </w:r>
          </w:p>
        </w:tc>
        <w:tc>
          <w:tcPr>
            <w:tcW w:type="dxa" w:w="7488"/>
          </w:tcPr>
          <w:p>
            <w:pPr/>
            <w:r>
              <w:rPr>
                <w:sz w:val="20"/>
              </w:rPr>
              <w:t>Create InMemoryCache, AlwaysAllowAuthorizer, MockLLM in platform_sdk.testing</w:t>
            </w:r>
          </w:p>
        </w:tc>
      </w:tr>
      <w:tr>
        <w:tc>
          <w:tcPr>
            <w:tcW w:type="dxa" w:w="864"/>
          </w:tcPr>
          <w:p>
            <w:pPr/>
            <w:r>
              <w:rPr>
                <w:sz w:val="20"/>
              </w:rPr>
              <w:t>3</w:t>
            </w:r>
          </w:p>
        </w:tc>
        <w:tc>
          <w:tcPr>
            <w:tcW w:type="dxa" w:w="1152"/>
          </w:tcPr>
          <w:p>
            <w:pPr/>
            <w:r>
              <w:rPr>
                <w:sz w:val="20"/>
              </w:rPr>
              <w:t>ROB-01</w:t>
            </w:r>
          </w:p>
        </w:tc>
        <w:tc>
          <w:tcPr>
            <w:tcW w:type="dxa" w:w="7488"/>
          </w:tcPr>
          <w:p>
            <w:pPr/>
            <w:r>
              <w:rPr>
                <w:sz w:val="20"/>
              </w:rPr>
              <w:t>Implement startup health matrix; degraded readiness state; lazy reconnection</w:t>
            </w:r>
          </w:p>
        </w:tc>
      </w:tr>
      <w:tr>
        <w:tc>
          <w:tcPr>
            <w:tcW w:type="dxa" w:w="864"/>
          </w:tcPr>
          <w:p>
            <w:pPr/>
            <w:r>
              <w:rPr>
                <w:sz w:val="20"/>
              </w:rPr>
              <w:t>3</w:t>
            </w:r>
          </w:p>
        </w:tc>
        <w:tc>
          <w:tcPr>
            <w:tcW w:type="dxa" w:w="1152"/>
          </w:tcPr>
          <w:p>
            <w:pPr/>
            <w:r>
              <w:rPr>
                <w:sz w:val="20"/>
              </w:rPr>
              <w:t>INT-01</w:t>
            </w:r>
          </w:p>
        </w:tc>
        <w:tc>
          <w:tcPr>
            <w:tcW w:type="dxa" w:w="7488"/>
          </w:tcPr>
          <w:p>
            <w:pPr/>
            <w:r>
              <w:rPr>
                <w:sz w:val="20"/>
              </w:rPr>
              <w:t>Define Pydantic response models for MCP tool outputs in platform_sdk</w:t>
            </w:r>
          </w:p>
        </w:tc>
      </w:tr>
      <w:tr>
        <w:tc>
          <w:tcPr>
            <w:tcW w:type="dxa" w:w="864"/>
          </w:tcPr>
          <w:p>
            <w:pPr/>
            <w:r>
              <w:rPr>
                <w:sz w:val="20"/>
              </w:rPr>
              <w:t>4</w:t>
            </w:r>
          </w:p>
        </w:tc>
        <w:tc>
          <w:tcPr>
            <w:tcW w:type="dxa" w:w="1152"/>
          </w:tcPr>
          <w:p>
            <w:pPr/>
            <w:r>
              <w:rPr>
                <w:sz w:val="20"/>
              </w:rPr>
              <w:t>SEC-02</w:t>
            </w:r>
          </w:p>
        </w:tc>
        <w:tc>
          <w:tcPr>
            <w:tcW w:type="dxa" w:w="7488"/>
          </w:tcPr>
          <w:p>
            <w:pPr/>
            <w:r>
              <w:rPr>
                <w:sz w:val="20"/>
              </w:rPr>
              <w:t>Implement dual-secret verification; configure AWS Secrets Manager rotation</w:t>
            </w:r>
          </w:p>
        </w:tc>
      </w:tr>
      <w:tr>
        <w:tc>
          <w:tcPr>
            <w:tcW w:type="dxa" w:w="864"/>
          </w:tcPr>
          <w:p>
            <w:pPr/>
            <w:r>
              <w:rPr>
                <w:sz w:val="20"/>
              </w:rPr>
              <w:t>4</w:t>
            </w:r>
          </w:p>
        </w:tc>
        <w:tc>
          <w:tcPr>
            <w:tcW w:type="dxa" w:w="1152"/>
          </w:tcPr>
          <w:p>
            <w:pPr/>
            <w:r>
              <w:rPr>
                <w:sz w:val="20"/>
              </w:rPr>
              <w:t>INT-04</w:t>
            </w:r>
          </w:p>
        </w:tc>
        <w:tc>
          <w:tcPr>
            <w:tcW w:type="dxa" w:w="7488"/>
          </w:tcPr>
          <w:p>
            <w:pPr/>
            <w:r>
              <w:rPr>
                <w:sz w:val="20"/>
              </w:rPr>
              <w:t>Add __post_init__ validation to AgentConfig and MCPConfig</w:t>
            </w:r>
          </w:p>
        </w:tc>
      </w:tr>
    </w:tbl>
    <w:p/>
    <w:p>
      <w:pPr>
        <w:pStyle w:val="Heading2"/>
      </w:pPr>
      <w:r>
        <w:t>Phase 2: Hardening (Weeks 5–8)</w:t>
      </w:r>
    </w:p>
    <w:p>
      <w:r>
        <w:t>Focus: Improve testability, integration safety, and infrastructure security.</w:t>
      </w:r>
    </w:p>
    <w:tbl>
      <w:tblPr>
        <w:tblStyle w:val="LightGrid-Accent1"/>
        <w:tblW w:type="auto" w:w="0"/>
        <w:jc w:val="center"/>
        <w:tblLook w:firstColumn="1" w:firstRow="1" w:lastColumn="0" w:lastRow="0" w:noHBand="0" w:noVBand="1" w:val="04A0"/>
      </w:tblPr>
      <w:tblGrid>
        <w:gridCol w:w="3120"/>
        <w:gridCol w:w="3120"/>
        <w:gridCol w:w="3120"/>
      </w:tblGrid>
      <w:tr>
        <w:tc>
          <w:tcPr>
            <w:tcW w:type="dxa" w:w="864"/>
          </w:tcPr>
          <w:p>
            <w:pPr/>
            <w:r>
              <w:rPr>
                <w:b/>
                <w:sz w:val="20"/>
              </w:rPr>
              <w:t>Week</w:t>
            </w:r>
          </w:p>
        </w:tc>
        <w:tc>
          <w:tcPr>
            <w:tcW w:type="dxa" w:w="1152"/>
          </w:tcPr>
          <w:p>
            <w:pPr/>
            <w:r>
              <w:rPr>
                <w:b/>
                <w:sz w:val="20"/>
              </w:rPr>
              <w:t>Finding</w:t>
            </w:r>
          </w:p>
        </w:tc>
        <w:tc>
          <w:tcPr>
            <w:tcW w:type="dxa" w:w="7488"/>
          </w:tcPr>
          <w:p>
            <w:pPr/>
            <w:r>
              <w:rPr>
                <w:b/>
                <w:sz w:val="20"/>
              </w:rPr>
              <w:t>Deliverable</w:t>
            </w:r>
          </w:p>
        </w:tc>
      </w:tr>
      <w:tr>
        <w:tc>
          <w:tcPr>
            <w:tcW w:type="dxa" w:w="864"/>
          </w:tcPr>
          <w:p>
            <w:pPr/>
            <w:r>
              <w:rPr>
                <w:sz w:val="20"/>
              </w:rPr>
              <w:t>5</w:t>
            </w:r>
          </w:p>
        </w:tc>
        <w:tc>
          <w:tcPr>
            <w:tcW w:type="dxa" w:w="1152"/>
          </w:tcPr>
          <w:p>
            <w:pPr/>
            <w:r>
              <w:rPr>
                <w:sz w:val="20"/>
              </w:rPr>
              <w:t>SOC-01</w:t>
            </w:r>
          </w:p>
        </w:tc>
        <w:tc>
          <w:tcPr>
            <w:tcW w:type="dxa" w:w="7488"/>
          </w:tcPr>
          <w:p>
            <w:pPr/>
            <w:r>
              <w:rPr>
                <w:sz w:val="20"/>
              </w:rPr>
              <w:t>Extract BaseMCPServer class; refactor all MCP servers to use it</w:t>
            </w:r>
          </w:p>
        </w:tc>
      </w:tr>
      <w:tr>
        <w:tc>
          <w:tcPr>
            <w:tcW w:type="dxa" w:w="864"/>
          </w:tcPr>
          <w:p>
            <w:pPr/>
            <w:r>
              <w:rPr>
                <w:sz w:val="20"/>
              </w:rPr>
              <w:t>5</w:t>
            </w:r>
          </w:p>
        </w:tc>
        <w:tc>
          <w:tcPr>
            <w:tcW w:type="dxa" w:w="1152"/>
          </w:tcPr>
          <w:p>
            <w:pPr/>
            <w:r>
              <w:rPr>
                <w:sz w:val="20"/>
              </w:rPr>
              <w:t>TEST-02</w:t>
            </w:r>
          </w:p>
        </w:tc>
        <w:tc>
          <w:tcPr>
            <w:tcW w:type="dxa" w:w="7488"/>
          </w:tcPr>
          <w:p>
            <w:pPr/>
            <w:r>
              <w:rPr>
                <w:sz w:val="20"/>
              </w:rPr>
              <w:t>Add transaction-scoped fixtures for integration tests</w:t>
            </w:r>
          </w:p>
        </w:tc>
      </w:tr>
      <w:tr>
        <w:tc>
          <w:tcPr>
            <w:tcW w:type="dxa" w:w="864"/>
          </w:tcPr>
          <w:p>
            <w:pPr/>
            <w:r>
              <w:rPr>
                <w:sz w:val="20"/>
              </w:rPr>
              <w:t>6</w:t>
            </w:r>
          </w:p>
        </w:tc>
        <w:tc>
          <w:tcPr>
            <w:tcW w:type="dxa" w:w="1152"/>
          </w:tcPr>
          <w:p>
            <w:pPr/>
            <w:r>
              <w:rPr>
                <w:sz w:val="20"/>
              </w:rPr>
              <w:t>TEST-03</w:t>
            </w:r>
          </w:p>
        </w:tc>
        <w:tc>
          <w:tcPr>
            <w:tcW w:type="dxa" w:w="7488"/>
          </w:tcPr>
          <w:p>
            <w:pPr/>
            <w:r>
              <w:rPr>
                <w:sz w:val="20"/>
              </w:rPr>
              <w:t>Refactor graph construction to support injectable nodes; add graph routing tests</w:t>
            </w:r>
          </w:p>
        </w:tc>
      </w:tr>
      <w:tr>
        <w:tc>
          <w:tcPr>
            <w:tcW w:type="dxa" w:w="864"/>
          </w:tcPr>
          <w:p>
            <w:pPr/>
            <w:r>
              <w:rPr>
                <w:sz w:val="20"/>
              </w:rPr>
              <w:t>6</w:t>
            </w:r>
          </w:p>
        </w:tc>
        <w:tc>
          <w:tcPr>
            <w:tcW w:type="dxa" w:w="1152"/>
          </w:tcPr>
          <w:p>
            <w:pPr/>
            <w:r>
              <w:rPr>
                <w:sz w:val="20"/>
              </w:rPr>
              <w:t>INT-02</w:t>
            </w:r>
          </w:p>
        </w:tc>
        <w:tc>
          <w:tcPr>
            <w:tcW w:type="dxa" w:w="7488"/>
          </w:tcPr>
          <w:p>
            <w:pPr/>
            <w:r>
              <w:rPr>
                <w:sz w:val="20"/>
              </w:rPr>
              <w:t>Define NodeName and IntentType enums; refactor RM Prep graph</w:t>
            </w:r>
          </w:p>
        </w:tc>
      </w:tr>
      <w:tr>
        <w:tc>
          <w:tcPr>
            <w:tcW w:type="dxa" w:w="864"/>
          </w:tcPr>
          <w:p>
            <w:pPr/>
            <w:r>
              <w:rPr>
                <w:sz w:val="20"/>
              </w:rPr>
              <w:t>7</w:t>
            </w:r>
          </w:p>
        </w:tc>
        <w:tc>
          <w:tcPr>
            <w:tcW w:type="dxa" w:w="1152"/>
          </w:tcPr>
          <w:p>
            <w:pPr/>
            <w:r>
              <w:rPr>
                <w:sz w:val="20"/>
              </w:rPr>
              <w:t>SEC-03</w:t>
            </w:r>
          </w:p>
        </w:tc>
        <w:tc>
          <w:tcPr>
            <w:tcW w:type="dxa" w:w="7488"/>
          </w:tcPr>
          <w:p>
            <w:pPr/>
            <w:r>
              <w:rPr>
                <w:sz w:val="20"/>
              </w:rPr>
              <w:t>Pin all container images by digest; add Trivy scanning to CI</w:t>
            </w:r>
          </w:p>
        </w:tc>
      </w:tr>
      <w:tr>
        <w:tc>
          <w:tcPr>
            <w:tcW w:type="dxa" w:w="864"/>
          </w:tcPr>
          <w:p>
            <w:pPr/>
            <w:r>
              <w:rPr>
                <w:sz w:val="20"/>
              </w:rPr>
              <w:t>7</w:t>
            </w:r>
          </w:p>
        </w:tc>
        <w:tc>
          <w:tcPr>
            <w:tcW w:type="dxa" w:w="1152"/>
          </w:tcPr>
          <w:p>
            <w:pPr/>
            <w:r>
              <w:rPr>
                <w:sz w:val="20"/>
              </w:rPr>
              <w:t>SEC-04</w:t>
            </w:r>
          </w:p>
        </w:tc>
        <w:tc>
          <w:tcPr>
            <w:tcW w:type="dxa" w:w="7488"/>
          </w:tcPr>
          <w:p>
            <w:pPr/>
            <w:r>
              <w:rPr>
                <w:sz w:val="20"/>
              </w:rPr>
              <w:t>Define and deploy Kubernetes NetworkPolicy resources</w:t>
            </w:r>
          </w:p>
        </w:tc>
      </w:tr>
      <w:tr>
        <w:tc>
          <w:tcPr>
            <w:tcW w:type="dxa" w:w="864"/>
          </w:tcPr>
          <w:p>
            <w:pPr/>
            <w:r>
              <w:rPr>
                <w:sz w:val="20"/>
              </w:rPr>
              <w:t>8</w:t>
            </w:r>
          </w:p>
        </w:tc>
        <w:tc>
          <w:tcPr>
            <w:tcW w:type="dxa" w:w="1152"/>
          </w:tcPr>
          <w:p>
            <w:pPr/>
            <w:r>
              <w:rPr>
                <w:sz w:val="20"/>
              </w:rPr>
              <w:t>OBS-01</w:t>
            </w:r>
          </w:p>
        </w:tc>
        <w:tc>
          <w:tcPr>
            <w:tcW w:type="dxa" w:w="7488"/>
          </w:tcPr>
          <w:p>
            <w:pPr/>
            <w:r>
              <w:rPr>
                <w:sz w:val="20"/>
              </w:rPr>
              <w:t>Expose circuit breaker + OPA metrics via OpenTelemetry</w:t>
            </w:r>
          </w:p>
        </w:tc>
      </w:tr>
      <w:tr>
        <w:tc>
          <w:tcPr>
            <w:tcW w:type="dxa" w:w="864"/>
          </w:tcPr>
          <w:p>
            <w:pPr/>
            <w:r>
              <w:rPr>
                <w:sz w:val="20"/>
              </w:rPr>
              <w:t>8</w:t>
            </w:r>
          </w:p>
        </w:tc>
        <w:tc>
          <w:tcPr>
            <w:tcW w:type="dxa" w:w="1152"/>
          </w:tcPr>
          <w:p>
            <w:pPr/>
            <w:r>
              <w:rPr>
                <w:sz w:val="20"/>
              </w:rPr>
              <w:t>TEST-04</w:t>
            </w:r>
          </w:p>
        </w:tc>
        <w:tc>
          <w:tcPr>
            <w:tcW w:type="dxa" w:w="7488"/>
          </w:tcPr>
          <w:p>
            <w:pPr/>
            <w:r>
              <w:rPr>
                <w:sz w:val="20"/>
              </w:rPr>
              <w:t>Implement consumer-driven contract tests for agent→MCP boundaries</w:t>
            </w:r>
          </w:p>
        </w:tc>
      </w:tr>
    </w:tbl>
    <w:p/>
    <w:p>
      <w:pPr>
        <w:pStyle w:val="Heading2"/>
      </w:pPr>
      <w:r>
        <w:t>Phase 3: Excellence (Weeks 9–12)</w:t>
      </w:r>
    </w:p>
    <w:p>
      <w:r>
        <w:t>Focus: Self-healing, observability maturity, and operational readiness.</w:t>
      </w:r>
    </w:p>
    <w:tbl>
      <w:tblPr>
        <w:tblStyle w:val="LightGrid-Accent1"/>
        <w:tblW w:type="auto" w:w="0"/>
        <w:jc w:val="center"/>
        <w:tblLook w:firstColumn="1" w:firstRow="1" w:lastColumn="0" w:lastRow="0" w:noHBand="0" w:noVBand="1" w:val="04A0"/>
      </w:tblPr>
      <w:tblGrid>
        <w:gridCol w:w="3120"/>
        <w:gridCol w:w="3120"/>
        <w:gridCol w:w="3120"/>
      </w:tblGrid>
      <w:tr>
        <w:tc>
          <w:tcPr>
            <w:tcW w:type="dxa" w:w="864"/>
          </w:tcPr>
          <w:p>
            <w:pPr/>
            <w:r>
              <w:rPr>
                <w:b/>
                <w:sz w:val="20"/>
              </w:rPr>
              <w:t>Week</w:t>
            </w:r>
          </w:p>
        </w:tc>
        <w:tc>
          <w:tcPr>
            <w:tcW w:type="dxa" w:w="1152"/>
          </w:tcPr>
          <w:p>
            <w:pPr/>
            <w:r>
              <w:rPr>
                <w:b/>
                <w:sz w:val="20"/>
              </w:rPr>
              <w:t>Finding</w:t>
            </w:r>
          </w:p>
        </w:tc>
        <w:tc>
          <w:tcPr>
            <w:tcW w:type="dxa" w:w="7488"/>
          </w:tcPr>
          <w:p>
            <w:pPr/>
            <w:r>
              <w:rPr>
                <w:b/>
                <w:sz w:val="20"/>
              </w:rPr>
              <w:t>Deliverable</w:t>
            </w:r>
          </w:p>
        </w:tc>
      </w:tr>
      <w:tr>
        <w:tc>
          <w:tcPr>
            <w:tcW w:type="dxa" w:w="864"/>
          </w:tcPr>
          <w:p>
            <w:pPr/>
            <w:r>
              <w:rPr>
                <w:sz w:val="20"/>
              </w:rPr>
              <w:t>9</w:t>
            </w:r>
          </w:p>
        </w:tc>
        <w:tc>
          <w:tcPr>
            <w:tcW w:type="dxa" w:w="1152"/>
          </w:tcPr>
          <w:p>
            <w:pPr/>
            <w:r>
              <w:rPr>
                <w:sz w:val="20"/>
              </w:rPr>
              <w:t>ROB-03</w:t>
            </w:r>
          </w:p>
        </w:tc>
        <w:tc>
          <w:tcPr>
            <w:tcW w:type="dxa" w:w="7488"/>
          </w:tcPr>
          <w:p>
            <w:pPr/>
            <w:r>
              <w:rPr>
                <w:sz w:val="20"/>
              </w:rPr>
              <w:t>Implement retry strategy with exponential backoff for transient MCP failures</w:t>
            </w:r>
          </w:p>
        </w:tc>
      </w:tr>
      <w:tr>
        <w:tc>
          <w:tcPr>
            <w:tcW w:type="dxa" w:w="864"/>
          </w:tcPr>
          <w:p>
            <w:pPr/>
            <w:r>
              <w:rPr>
                <w:sz w:val="20"/>
              </w:rPr>
              <w:t>9</w:t>
            </w:r>
          </w:p>
        </w:tc>
        <w:tc>
          <w:tcPr>
            <w:tcW w:type="dxa" w:w="1152"/>
          </w:tcPr>
          <w:p>
            <w:pPr/>
            <w:r>
              <w:rPr>
                <w:sz w:val="20"/>
              </w:rPr>
              <w:t>ROB-06</w:t>
            </w:r>
          </w:p>
        </w:tc>
        <w:tc>
          <w:tcPr>
            <w:tcW w:type="dxa" w:w="7488"/>
          </w:tcPr>
          <w:p>
            <w:pPr/>
            <w:r>
              <w:rPr>
                <w:sz w:val="20"/>
              </w:rPr>
              <w:t>Add circuit breaker to OPA client; expose metrics</w:t>
            </w:r>
          </w:p>
        </w:tc>
      </w:tr>
      <w:tr>
        <w:tc>
          <w:tcPr>
            <w:tcW w:type="dxa" w:w="864"/>
          </w:tcPr>
          <w:p>
            <w:pPr/>
            <w:r>
              <w:rPr>
                <w:sz w:val="20"/>
              </w:rPr>
              <w:t>10</w:t>
            </w:r>
          </w:p>
        </w:tc>
        <w:tc>
          <w:tcPr>
            <w:tcW w:type="dxa" w:w="1152"/>
          </w:tcPr>
          <w:p>
            <w:pPr/>
            <w:r>
              <w:rPr>
                <w:sz w:val="20"/>
              </w:rPr>
              <w:t>ROB-04</w:t>
            </w:r>
          </w:p>
        </w:tc>
        <w:tc>
          <w:tcPr>
            <w:tcW w:type="dxa" w:w="7488"/>
          </w:tcPr>
          <w:p>
            <w:pPr/>
            <w:r>
              <w:rPr>
                <w:sz w:val="20"/>
              </w:rPr>
              <w:t>Add schema_version to state definitions; implement migration layer</w:t>
            </w:r>
          </w:p>
        </w:tc>
      </w:tr>
      <w:tr>
        <w:tc>
          <w:tcPr>
            <w:tcW w:type="dxa" w:w="864"/>
          </w:tcPr>
          <w:p>
            <w:pPr/>
            <w:r>
              <w:rPr>
                <w:sz w:val="20"/>
              </w:rPr>
              <w:t>10</w:t>
            </w:r>
          </w:p>
        </w:tc>
        <w:tc>
          <w:tcPr>
            <w:tcW w:type="dxa" w:w="1152"/>
          </w:tcPr>
          <w:p>
            <w:pPr/>
            <w:r>
              <w:rPr>
                <w:sz w:val="20"/>
              </w:rPr>
              <w:t>SEC-05</w:t>
            </w:r>
          </w:p>
        </w:tc>
        <w:tc>
          <w:tcPr>
            <w:tcW w:type="dxa" w:w="7488"/>
          </w:tcPr>
          <w:p>
            <w:pPr/>
            <w:r>
              <w:rPr>
                <w:sz w:val="20"/>
              </w:rPr>
              <w:t>Enable column encryption on audit log; implement retention policy</w:t>
            </w:r>
          </w:p>
        </w:tc>
      </w:tr>
      <w:tr>
        <w:tc>
          <w:tcPr>
            <w:tcW w:type="dxa" w:w="864"/>
          </w:tcPr>
          <w:p>
            <w:pPr/>
            <w:r>
              <w:rPr>
                <w:sz w:val="20"/>
              </w:rPr>
              <w:t>11</w:t>
            </w:r>
          </w:p>
        </w:tc>
        <w:tc>
          <w:tcPr>
            <w:tcW w:type="dxa" w:w="1152"/>
          </w:tcPr>
          <w:p>
            <w:pPr/>
            <w:r>
              <w:rPr>
                <w:sz w:val="20"/>
              </w:rPr>
              <w:t>OBS-02</w:t>
            </w:r>
          </w:p>
        </w:tc>
        <w:tc>
          <w:tcPr>
            <w:tcW w:type="dxa" w:w="7488"/>
          </w:tcPr>
          <w:p>
            <w:pPr/>
            <w:r>
              <w:rPr>
                <w:sz w:val="20"/>
              </w:rPr>
              <w:t>Create SLO dashboards in Grafana; configure burn-rate alerts</w:t>
            </w:r>
          </w:p>
        </w:tc>
      </w:tr>
      <w:tr>
        <w:tc>
          <w:tcPr>
            <w:tcW w:type="dxa" w:w="864"/>
          </w:tcPr>
          <w:p>
            <w:pPr/>
            <w:r>
              <w:rPr>
                <w:sz w:val="20"/>
              </w:rPr>
              <w:t>11</w:t>
            </w:r>
          </w:p>
        </w:tc>
        <w:tc>
          <w:tcPr>
            <w:tcW w:type="dxa" w:w="1152"/>
          </w:tcPr>
          <w:p>
            <w:pPr/>
            <w:r>
              <w:rPr>
                <w:sz w:val="20"/>
              </w:rPr>
              <w:t>SOC-02</w:t>
            </w:r>
          </w:p>
        </w:tc>
        <w:tc>
          <w:tcPr>
            <w:tcW w:type="dxa" w:w="7488"/>
          </w:tcPr>
          <w:p>
            <w:pPr/>
            <w:r>
              <w:rPr>
                <w:sz w:val="20"/>
              </w:rPr>
              <w:t>Apply Ports and Adapters pattern to RM Prep orchestrator nodes</w:t>
            </w:r>
          </w:p>
        </w:tc>
      </w:tr>
      <w:tr>
        <w:tc>
          <w:tcPr>
            <w:tcW w:type="dxa" w:w="864"/>
          </w:tcPr>
          <w:p>
            <w:pPr/>
            <w:r>
              <w:rPr>
                <w:sz w:val="20"/>
              </w:rPr>
              <w:t>12</w:t>
            </w:r>
          </w:p>
        </w:tc>
        <w:tc>
          <w:tcPr>
            <w:tcW w:type="dxa" w:w="1152"/>
          </w:tcPr>
          <w:p>
            <w:pPr/>
            <w:r>
              <w:rPr>
                <w:sz w:val="20"/>
              </w:rPr>
              <w:t>OBS-04</w:t>
            </w:r>
          </w:p>
        </w:tc>
        <w:tc>
          <w:tcPr>
            <w:tcW w:type="dxa" w:w="7488"/>
          </w:tcPr>
          <w:p>
            <w:pPr/>
            <w:r>
              <w:rPr>
                <w:sz w:val="20"/>
              </w:rPr>
              <w:t>Inject W3C trace context into MCP tool calls; create end-to-end trace views</w:t>
            </w:r>
          </w:p>
        </w:tc>
      </w:tr>
      <w:tr>
        <w:tc>
          <w:tcPr>
            <w:tcW w:type="dxa" w:w="864"/>
          </w:tcPr>
          <w:p>
            <w:pPr/>
            <w:r>
              <w:rPr>
                <w:sz w:val="20"/>
              </w:rPr>
              <w:t>12</w:t>
            </w:r>
          </w:p>
        </w:tc>
        <w:tc>
          <w:tcPr>
            <w:tcW w:type="dxa" w:w="1152"/>
          </w:tcPr>
          <w:p>
            <w:pPr/>
            <w:r>
              <w:rPr>
                <w:sz w:val="20"/>
              </w:rPr>
              <w:t>ALL</w:t>
            </w:r>
          </w:p>
        </w:tc>
        <w:tc>
          <w:tcPr>
            <w:tcW w:type="dxa" w:w="7488"/>
          </w:tcPr>
          <w:p>
            <w:pPr/>
            <w:r>
              <w:rPr>
                <w:sz w:val="20"/>
              </w:rPr>
              <w:t>Validate with load testing; update DEVELOPER_GUIDE.md with new patterns</w:t>
            </w:r>
          </w:p>
        </w:tc>
      </w:tr>
    </w:tbl>
    <w:p>
      <w:r>
        <w:br w:type="page"/>
      </w:r>
    </w:p>
    <w:p>
      <w:pPr>
        <w:pStyle w:val="Heading1"/>
      </w:pPr>
      <w:r>
        <w:t>11. Appendix: Recommended Design Patterns</w:t>
      </w:r>
    </w:p>
    <w:p>
      <w:pPr>
        <w:pStyle w:val="Heading2"/>
      </w:pPr>
      <w:r>
        <w:t>A. Protocol-Based Dependency Injection</w:t>
      </w:r>
    </w:p>
    <w:p>
      <w:r>
        <w:t>To enable clean testability, define Protocol classes for all cross-cutting services. Production code depends on the protocol; tests inject lightweight fakes. Example for the authorization boundary:</w:t>
      </w:r>
    </w:p>
    <w:p>
      <w:pPr>
        <w:pStyle w:val="Code"/>
      </w:pPr>
      <w:r>
        <w:t>class Authorizer(Protocol):</w:t>
      </w:r>
    </w:p>
    <w:p>
      <w:pPr>
        <w:pStyle w:val="Code"/>
      </w:pPr>
      <w:r>
        <w:t xml:space="preserve">    async def authorize(self, tool_name: str, payload: dict) -&gt; bool: ...</w:t>
      </w:r>
    </w:p>
    <w:p>
      <w:pPr>
        <w:pStyle w:val="Code"/>
      </w:pPr>
    </w:p>
    <w:p>
      <w:pPr>
        <w:pStyle w:val="Code"/>
      </w:pPr>
      <w:r>
        <w:t>class AlwaysAllowAuthorizer:</w:t>
      </w:r>
    </w:p>
    <w:p>
      <w:pPr>
        <w:pStyle w:val="Code"/>
      </w:pPr>
      <w:r>
        <w:t xml:space="preserve">    async def authorize(self, tool_name: str, payload: dict) -&gt; bool:</w:t>
      </w:r>
    </w:p>
    <w:p>
      <w:pPr>
        <w:pStyle w:val="Code"/>
      </w:pPr>
      <w:r>
        <w:t xml:space="preserve">        return True</w:t>
      </w:r>
    </w:p>
    <w:p>
      <w:pPr>
        <w:pStyle w:val="Code"/>
      </w:pPr>
    </w:p>
    <w:p>
      <w:pPr>
        <w:pStyle w:val="Code"/>
      </w:pPr>
      <w:r>
        <w:t>class OpaAuthorizer:  # Production implementation</w:t>
      </w:r>
    </w:p>
    <w:p>
      <w:pPr>
        <w:pStyle w:val="Code"/>
      </w:pPr>
      <w:r>
        <w:t xml:space="preserve">    def __init__(self, client: OpaClient): self._client = client</w:t>
      </w:r>
    </w:p>
    <w:p>
      <w:pPr>
        <w:pStyle w:val="Code"/>
      </w:pPr>
      <w:r>
        <w:t xml:space="preserve">    async def authorize(self, tool_name: str, payload: dict) -&gt; bool:</w:t>
      </w:r>
    </w:p>
    <w:p>
      <w:pPr>
        <w:pStyle w:val="Code"/>
      </w:pPr>
      <w:r>
        <w:t xml:space="preserve">        return await self._client.authorize(tool_name, payload)</w:t>
      </w:r>
    </w:p>
    <w:p/>
    <w:p>
      <w:pPr>
        <w:pStyle w:val="Heading2"/>
      </w:pPr>
      <w:r>
        <w:t>B. Self-Healing MCP Bridge</w:t>
      </w:r>
    </w:p>
    <w:p>
      <w:r>
        <w:t>Extend the existing MCPToolBridge reconnection loop with health-aware routing. When a bridge enters a failed state, return structured errors that distinguish 'service temporarily unavailable' from 'tool error'. The orchestrator can then make informed decisions: skip the specialist for this request, retry after delay, or generate a partial brief with a disclosure that certain data is unavailable.</w:t>
      </w:r>
    </w:p>
    <w:p>
      <w:pPr>
        <w:pStyle w:val="Heading2"/>
      </w:pPr>
      <w:r>
        <w:t>C. State Migration Pattern</w:t>
      </w:r>
    </w:p>
    <w:p>
      <w:r>
        <w:t>Add a schema_version integer to all LangGraph state definitions. When deserializing a checkpoint, compare the stored version to the current version. If they differ, apply a chain of migration functions (v1→v2, v2→v3, etc.) to transform the state. If migration fails, start a fresh conversation and log the failure. This prevents deployment-time conversation corruption.</w:t>
      </w:r>
    </w:p>
    <w:p>
      <w:pPr>
        <w:pStyle w:val="Heading2"/>
      </w:pPr>
      <w:r>
        <w:t>D. Structured Error Envelope</w:t>
      </w:r>
    </w:p>
    <w:p>
      <w:r>
        <w:t>Replace all plain-string error responses with a typed envelope that consuming agents can parse reliably:</w:t>
      </w:r>
    </w:p>
    <w:p>
      <w:pPr>
        <w:pStyle w:val="Code"/>
      </w:pPr>
      <w:r>
        <w:t>class ToolResponse(BaseModel):</w:t>
      </w:r>
    </w:p>
    <w:p>
      <w:pPr>
        <w:pStyle w:val="Code"/>
      </w:pPr>
      <w:r>
        <w:t xml:space="preserve">    success: bool</w:t>
      </w:r>
    </w:p>
    <w:p>
      <w:pPr>
        <w:pStyle w:val="Code"/>
      </w:pPr>
      <w:r>
        <w:t xml:space="preserve">    data: Optional[dict] = None</w:t>
      </w:r>
    </w:p>
    <w:p>
      <w:pPr>
        <w:pStyle w:val="Code"/>
      </w:pPr>
      <w:r>
        <w:t xml:space="preserve">    error: Optional[ErrorDetail] = None</w:t>
      </w:r>
    </w:p>
    <w:p>
      <w:pPr>
        <w:pStyle w:val="Code"/>
      </w:pPr>
    </w:p>
    <w:p>
      <w:pPr>
        <w:pStyle w:val="Code"/>
      </w:pPr>
      <w:r>
        <w:t>class ErrorDetail(BaseModel):</w:t>
      </w:r>
    </w:p>
    <w:p>
      <w:pPr>
        <w:pStyle w:val="Code"/>
      </w:pPr>
      <w:r>
        <w:t xml:space="preserve">    code: str        # e.g., "UNAUTHORIZED", "TIMEOUT", "SERVICE_UNAVAILABLE"</w:t>
      </w:r>
    </w:p>
    <w:p>
      <w:pPr>
        <w:pStyle w:val="Code"/>
      </w:pPr>
      <w:r>
        <w:t xml:space="preserve">    message: str     # Human-readable description</w:t>
      </w:r>
    </w:p>
    <w:p>
      <w:pPr>
        <w:pStyle w:val="Code"/>
      </w:pPr>
      <w:r>
        <w:t xml:space="preserve">    retryable: bool  # Can the caller retry this request?</w:t>
      </w:r>
    </w:p>
    <w:p>
      <w:pPr>
        <w:pStyle w:val="Code"/>
      </w:pPr>
      <w:r>
        <w:t xml:space="preserve">    retry_after_seconds: Optional[int] = None</w:t>
      </w:r>
    </w:p>
    <w:p/>
    <w:p>
      <w:r>
        <w:t>This envelope enables agents to make intelligent retry decisions and generate honest partial briefs when specific data sources are temporarily unavailable.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B3A5C"/>
      <w:sz w:val="44"/>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Arial" w:hAnsi="Arial"/>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Arial" w:hAnsi="Arial"/>
      <w:b/>
      <w:bCs/>
      <w:color w:val="3785C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80" w:after="80"/>
      <w:ind w:left="360"/>
    </w:pPr>
    <w:rPr>
      <w:rFonts w:ascii="Courier New" w:hAnsi="Courier New"/>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