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Bayes’ Theorem: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|</m:t>
                </m:r>
                <m:r>
                  <m:t>A</m:t>
                </m:r>
              </m:e>
            </m:d>
            <m:r>
              <m:rPr>
                <m:sty m:val="p"/>
              </m:rPr>
              <m:t>⋅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</w:t>
      </w:r>
    </w:p>
    <w:p>
      <w:pPr>
        <w:pStyle w:val="BodyText"/>
      </w:pPr>
      <w:r>
        <w:t xml:space="preserve">A new COVID variant test has the following characteristics:</w:t>
      </w:r>
    </w:p>
    <w:p>
      <w:pPr>
        <w:numPr>
          <w:ilvl w:val="0"/>
          <w:numId w:val="1007"/>
        </w:numPr>
      </w:pPr>
      <w:r>
        <w:t xml:space="preserve">The variant affects 3% of the tested population</w:t>
      </w:r>
    </w:p>
    <w:p>
      <w:pPr>
        <w:numPr>
          <w:ilvl w:val="0"/>
          <w:numId w:val="1007"/>
        </w:numPr>
      </w:pPr>
      <w:r>
        <w:t xml:space="preserve">The test correctly identifies 95% of people with the variant (sensitivity)</w:t>
      </w:r>
    </w:p>
    <w:p>
      <w:pPr>
        <w:numPr>
          <w:ilvl w:val="0"/>
          <w:numId w:val="1007"/>
        </w:numPr>
      </w:pPr>
      <w:r>
        <w:t xml:space="preserve">The test correctly identifies 92% of people without the variant (specificity)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The health department wants to reduce false positives. They decide to require two consecutive positive tests for a positive diagnosis. Assuming test results are independent, what is the new probability that someone with two positive tests actually has the variant?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c-conditional-probability-1"/>
    <w:p>
      <w:pPr>
        <w:pStyle w:val="Heading1"/>
      </w:pPr>
      <w:r>
        <w:t xml:space="preserve">5.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C1: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bookmarkStart w:id="30" w:name="section-d-review"/>
    <w:p>
      <w:pPr>
        <w:pStyle w:val="Heading1"/>
      </w:pPr>
      <w:r>
        <w:t xml:space="preserve">6. Section D: Review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</w:t>
      </w:r>
    </w:p>
    <w:p>
      <w:pPr>
        <w:pStyle w:val="BodyText"/>
      </w:pPr>
      <w:r>
        <w:t xml:space="preserve">Sally gets a cup of coffee and a muffin every day for breakfast from one of the many coffee shops in her neighborhood. She picks a coffee shop each morning at random and independently of previous days. The average price of a cup of coffee is $1.40 with a standard deviation of 30¢ ($0.30), the average price of a muffin is $2.50 with a standard deviation of 15¢, and the two prices are independent of each other.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2025-07-08T19:03:26Z</dcterms:created>
  <dcterms:modified xsi:type="dcterms:W3CDTF">2025-07-08T19:03:26Z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2025-07-08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