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F530C" w14:textId="77777777" w:rsidR="00CC0E4E" w:rsidRPr="00CC0E4E" w:rsidRDefault="00CC0E4E" w:rsidP="00CC0E4E">
      <w:pPr>
        <w:rPr>
          <w:rFonts w:cs="Arial"/>
        </w:rPr>
      </w:pPr>
      <w:r w:rsidRPr="00CC0E4E">
        <w:rPr>
          <w:rFonts w:cs="Arial"/>
          <w:b/>
          <w:bCs/>
        </w:rPr>
        <w:t>Análisis de Datos: Incidencia de Delitos de Alto Impacto</w:t>
      </w:r>
    </w:p>
    <w:p w14:paraId="2901B36D" w14:textId="77777777" w:rsidR="00CC0E4E" w:rsidRPr="00CC0E4E" w:rsidRDefault="00CC0E4E" w:rsidP="00CC0E4E">
      <w:pPr>
        <w:rPr>
          <w:rFonts w:cs="Arial"/>
        </w:rPr>
      </w:pPr>
      <w:r w:rsidRPr="00CC0E4E">
        <w:rPr>
          <w:rFonts w:cs="Arial"/>
          <w:b/>
          <w:bCs/>
        </w:rPr>
        <w:t>Panel 1: Contexto Demográfico y Geográfico</w:t>
      </w:r>
    </w:p>
    <w:p w14:paraId="414D1BB0" w14:textId="77777777" w:rsidR="00CC0E4E" w:rsidRPr="00CC0E4E" w:rsidRDefault="00CC0E4E" w:rsidP="00CC0E4E">
      <w:pPr>
        <w:rPr>
          <w:rFonts w:cs="Arial"/>
        </w:rPr>
      </w:pPr>
      <w:r w:rsidRPr="00CC0E4E">
        <w:rPr>
          <w:rFonts w:cs="Arial"/>
          <w:b/>
          <w:bCs/>
        </w:rPr>
        <w:t>Grafica 1: Casos por municipio</w:t>
      </w:r>
      <w:r w:rsidRPr="00CC0E4E">
        <w:rPr>
          <w:rFonts w:cs="Arial"/>
        </w:rPr>
        <w:t xml:space="preserve"> En esta gráfica podemos analizar a Barranquilla como el municipio con la máxima cantidad de casos por hecho, seguido por Soledad. Esto es algo preocupante y nos lleva a preguntarnos qué causas generan este comportamiento. La razón principal de esta concentración es que ambos municipios representan el epicentro económico, comercial e industrial del departamento. Las estructuras delincuenciales atacan allí donde hay mayor flujo de dinero y concentración de negocios. Además, si analizamos la línea de tiempo, el pico máximo se presenta en el 2024. Si nos damos cuenta, en el 2020 y 2021, a principio de pandemia, se veía que sus picos no eran tan altos. Esto hace ver que, a pesar de que las personas estaban en sus casas y en teoría más accesibles, la paralización del comercio y las restricciones de movilidad dificultaron el recaudo criminal, demostrando que este delito está directamente ligado a la actividad económica presencial.</w:t>
      </w:r>
    </w:p>
    <w:p w14:paraId="462C0687" w14:textId="77777777" w:rsidR="00CC0E4E" w:rsidRPr="00CC0E4E" w:rsidRDefault="00CC0E4E" w:rsidP="00CC0E4E">
      <w:pPr>
        <w:rPr>
          <w:rFonts w:cs="Arial"/>
        </w:rPr>
      </w:pPr>
      <w:r w:rsidRPr="00CC0E4E">
        <w:rPr>
          <w:rFonts w:cs="Arial"/>
          <w:b/>
          <w:bCs/>
        </w:rPr>
        <w:t>Gráfico 2: El día de la semana más propenso a que ocurra un hecho</w:t>
      </w:r>
      <w:r w:rsidRPr="00CC0E4E">
        <w:rPr>
          <w:rFonts w:cs="Arial"/>
        </w:rPr>
        <w:t xml:space="preserve"> Si nos damos cuenta, el día de la semana más propenso a que ocurra un hecho es el miércoles, y el que menos casos presenta es el domingo, una tendencia que mantiene correlación en casi todos los años. Esto nos indica que el crimen organizado opera como una empresa más, con "horarios laborales". Hay que tener en cuenta que las bandas suelen actuar más los días de semana porque es cuando hay mayor vulnerabilidad: es cuando las empresas están abiertas, la gente está trabajando, hay flujo de caja en los locales y los bancos operan. En contraste, los fines de semana la gente suele descansar, el comercio formal disminuye y las personas contestan menos el teléfono, lo que reduce la ventana de oportunidad para el delincuente.</w:t>
      </w:r>
    </w:p>
    <w:p w14:paraId="22034FD9" w14:textId="77777777" w:rsidR="00CC0E4E" w:rsidRPr="00CC0E4E" w:rsidRDefault="00CC0E4E" w:rsidP="00CC0E4E">
      <w:pPr>
        <w:rPr>
          <w:rFonts w:cs="Arial"/>
        </w:rPr>
      </w:pPr>
      <w:r w:rsidRPr="00CC0E4E">
        <w:rPr>
          <w:rFonts w:cs="Arial"/>
          <w:b/>
          <w:bCs/>
        </w:rPr>
        <w:t>Grafica 3: Cantidad de casos por género</w:t>
      </w:r>
      <w:r w:rsidRPr="00CC0E4E">
        <w:rPr>
          <w:rFonts w:cs="Arial"/>
        </w:rPr>
        <w:t xml:space="preserve"> En esta gráfica podemos ver cómo es más vulnerable el género masculino, con un total de 3,307 casos frente al femenino con un total de 1,645 (teniendo en cuenta un margen mínimo de datos no reportados). Es importante saber qué causas dan origen a esto para buscar mejoras. Esta desproporción de casi 2 a 1 ocurre porque, tradicionalmente, la titularidad de los negocios más golpeados por estos delitos (como ferreterías, talleres, tiendas de barrio y el sector transporte) suele recaer en hombres. El victimario perfila e intimida directamente a la "cabeza visible" o al tomador de decisiones financieras del negocio o núcleo familiar.</w:t>
      </w:r>
    </w:p>
    <w:p w14:paraId="741AF366" w14:textId="77777777" w:rsidR="00CC0E4E" w:rsidRPr="00CC0E4E" w:rsidRDefault="00000000" w:rsidP="00CC0E4E">
      <w:pPr>
        <w:rPr>
          <w:rFonts w:cs="Arial"/>
        </w:rPr>
      </w:pPr>
      <w:r>
        <w:rPr>
          <w:rFonts w:cs="Arial"/>
        </w:rPr>
        <w:pict w14:anchorId="07E60454">
          <v:rect id="_x0000_i1025" style="width:0;height:1.5pt" o:hralign="center" o:hrstd="t" o:hr="t" fillcolor="#a0a0a0" stroked="f"/>
        </w:pict>
      </w:r>
    </w:p>
    <w:p w14:paraId="48F87967" w14:textId="77777777" w:rsidR="00CC0E4E" w:rsidRPr="00CC0E4E" w:rsidRDefault="00CC0E4E" w:rsidP="00CC0E4E">
      <w:pPr>
        <w:rPr>
          <w:rFonts w:cs="Arial"/>
        </w:rPr>
      </w:pPr>
      <w:r w:rsidRPr="00CC0E4E">
        <w:rPr>
          <w:rFonts w:cs="Arial"/>
          <w:b/>
          <w:bCs/>
        </w:rPr>
        <w:lastRenderedPageBreak/>
        <w:t>Panel 2: Comportamiento Temporal y Modus Operandi</w:t>
      </w:r>
    </w:p>
    <w:p w14:paraId="7F564D3D" w14:textId="491653CC" w:rsidR="00CC0E4E" w:rsidRPr="00CC0E4E" w:rsidRDefault="00CC0E4E" w:rsidP="00CC0E4E">
      <w:pPr>
        <w:rPr>
          <w:rFonts w:cs="Arial"/>
        </w:rPr>
      </w:pPr>
      <w:r w:rsidRPr="00CC0E4E">
        <w:rPr>
          <w:rFonts w:cs="Arial"/>
          <w:b/>
          <w:bCs/>
        </w:rPr>
        <w:t>Grafica 1: Cantidad de casos de acuerdo con la fecha</w:t>
      </w:r>
      <w:r w:rsidRPr="00CC0E4E">
        <w:rPr>
          <w:rFonts w:cs="Arial"/>
        </w:rPr>
        <w:t xml:space="preserve"> En este gráfico de tiempo podemos analizar cómo se presenta un alza máxima en 2024 con un total de 1,504 datos, y su pico menor en 2020 con 196 datos. Como analistas, es crucial hacer una observación técnica aquí: para una correcta interpretación, el eje de este gráfico debe leerse de forma estrictamente cronológica. Al hacerlo, evidenciamos un crecimiento exponencial sostenido. ¿Qué factores hicieron que se diera este pico en 2024? Principalmente, la reactivación económica total postpandemia vino acompañada de un fortalecimiento de las bandas locales que democratizaron el delito, pasando de atacar a grandes empresas a cobrar cuotas a pequeños tenderos. Es vital monitorear qué variables están influyendo en la leve baja del 2025 para replicar esas estrategias preventivas.</w:t>
      </w:r>
    </w:p>
    <w:p w14:paraId="2CDE21C9" w14:textId="77777777" w:rsidR="00CC0E4E" w:rsidRPr="00CC0E4E" w:rsidRDefault="00CC0E4E" w:rsidP="00CC0E4E">
      <w:pPr>
        <w:rPr>
          <w:rFonts w:cs="Arial"/>
        </w:rPr>
      </w:pPr>
      <w:r w:rsidRPr="00CC0E4E">
        <w:rPr>
          <w:rFonts w:cs="Arial"/>
          <w:b/>
          <w:bCs/>
        </w:rPr>
        <w:t>Grafica 2: Medio más utilizado para un hecho</w:t>
      </w:r>
      <w:r w:rsidRPr="00CC0E4E">
        <w:rPr>
          <w:rFonts w:cs="Arial"/>
        </w:rPr>
        <w:t xml:space="preserve"> En este gráfico de columnas se evidencia que el medio más utilizado para ejecutar un hecho es la "llamada telefónica", seguido de la modalidad "directa" (es decir, llegar presencialmente al lugar). Como la extorsión es el delito que predomina abrumadoramente en nuestra base de datos, marca la tendencia de esta gráfica. El alto uso del teléfono se debe a que muchas de estas intimidaciones provienen de centros carcelarios, ofreciendo anonimato y bajo riesgo para el delincuente. Sin embargo, el alto volumen de la modalidad "directa" es una alerta crítica, ya que demuestra que las bandas tienen control territorial en los barrios para enviar emisarios a cobrar presencialmente. Para otros delitos menores en proporción, como el secuestro, el medio más utilizado son las armas de fuego; y en el caso del terrorismo, el uso de combustible para quemar locales, casos que, aunque tienen pocos registros, son de alto impacto y no se deben restar importancia.</w:t>
      </w:r>
    </w:p>
    <w:p w14:paraId="60C2E2FA" w14:textId="77777777" w:rsidR="00CC0E4E" w:rsidRPr="00CC0E4E" w:rsidRDefault="00000000" w:rsidP="00CC0E4E">
      <w:pPr>
        <w:rPr>
          <w:rFonts w:cs="Arial"/>
        </w:rPr>
      </w:pPr>
      <w:r>
        <w:rPr>
          <w:rFonts w:cs="Arial"/>
        </w:rPr>
        <w:pict w14:anchorId="1E40CA82">
          <v:rect id="_x0000_i1026" style="width:0;height:1.5pt" o:hralign="center" o:hrstd="t" o:hr="t" fillcolor="#a0a0a0" stroked="f"/>
        </w:pict>
      </w:r>
    </w:p>
    <w:p w14:paraId="2F8A6B2F" w14:textId="77777777" w:rsidR="00CC0E4E" w:rsidRPr="00CC0E4E" w:rsidRDefault="00CC0E4E" w:rsidP="00CC0E4E">
      <w:pPr>
        <w:rPr>
          <w:rFonts w:cs="Arial"/>
        </w:rPr>
      </w:pPr>
      <w:r w:rsidRPr="00CC0E4E">
        <w:rPr>
          <w:rFonts w:cs="Arial"/>
          <w:b/>
          <w:bCs/>
        </w:rPr>
        <w:t>Panel 3: Análisis Técnico y de Proporción</w:t>
      </w:r>
    </w:p>
    <w:p w14:paraId="6C3EC629" w14:textId="0FDF1BF5" w:rsidR="00CC0E4E" w:rsidRPr="00CC0E4E" w:rsidRDefault="00CC0E4E" w:rsidP="00CC0E4E">
      <w:pPr>
        <w:rPr>
          <w:rFonts w:cs="Arial"/>
        </w:rPr>
      </w:pPr>
      <w:proofErr w:type="spellStart"/>
      <w:r w:rsidRPr="00CC0E4E">
        <w:rPr>
          <w:rFonts w:cs="Arial"/>
          <w:b/>
          <w:bCs/>
        </w:rPr>
        <w:t>Grafico</w:t>
      </w:r>
      <w:proofErr w:type="spellEnd"/>
      <w:r w:rsidRPr="00CC0E4E">
        <w:rPr>
          <w:rFonts w:cs="Arial"/>
          <w:b/>
          <w:bCs/>
        </w:rPr>
        <w:t xml:space="preserve"> 1: Gráfico de dispersión de cantidad de casos por departamento</w:t>
      </w:r>
      <w:r w:rsidRPr="00CC0E4E">
        <w:rPr>
          <w:rFonts w:cs="Arial"/>
        </w:rPr>
        <w:t xml:space="preserve"> </w:t>
      </w:r>
      <w:r w:rsidR="003D3717">
        <w:t xml:space="preserve">Aprovechar la línea de tiempo del gráfico de dispersión para analizar visualmente cómo han evolucionado los casos con el pasar de los años es vital para la narrativa del </w:t>
      </w:r>
      <w:proofErr w:type="spellStart"/>
      <w:r w:rsidR="003D3717">
        <w:t>dashboard</w:t>
      </w:r>
      <w:proofErr w:type="spellEnd"/>
      <w:r w:rsidR="003D3717">
        <w:t xml:space="preserve"> general, ya que permite contextualizar el dato de 2025 como el primer posible punto de inflexión tras una crisis desbordada: el recorrido histórico revela gráficamente una escalada alarmante del 660% entre 2020 y 2024 impulsada casi en su totalidad por la extorsión, para luego mostrar que el registro de 1,296 casos en 2025 representa una leve contracción respecto al pico del año anterior, advirtiendo a los tomadores de decisiones que, si bien la aceleración del delito parece haberse </w:t>
      </w:r>
      <w:r w:rsidR="003D3717">
        <w:lastRenderedPageBreak/>
        <w:t>frenado, el volumen absoluto sigue siendo el segundo más alto del quinquenio, consolidando este flagelo en el Atlántico como un problema estructural crónico estabilizado en niveles de máxima alerta.</w:t>
      </w:r>
    </w:p>
    <w:p w14:paraId="3F44F5CD" w14:textId="77777777" w:rsidR="00CC0E4E" w:rsidRPr="00CC0E4E" w:rsidRDefault="00CC0E4E" w:rsidP="00CC0E4E">
      <w:pPr>
        <w:rPr>
          <w:rFonts w:cs="Arial"/>
        </w:rPr>
      </w:pPr>
      <w:proofErr w:type="spellStart"/>
      <w:r w:rsidRPr="00CC0E4E">
        <w:rPr>
          <w:rFonts w:cs="Arial"/>
          <w:b/>
          <w:bCs/>
        </w:rPr>
        <w:t>Grafico</w:t>
      </w:r>
      <w:proofErr w:type="spellEnd"/>
      <w:r w:rsidRPr="00CC0E4E">
        <w:rPr>
          <w:rFonts w:cs="Arial"/>
          <w:b/>
          <w:bCs/>
        </w:rPr>
        <w:t xml:space="preserve"> 2: Gráfico de cintas por armas y medio</w:t>
      </w:r>
      <w:r w:rsidRPr="00CC0E4E">
        <w:rPr>
          <w:rFonts w:cs="Arial"/>
        </w:rPr>
        <w:t xml:space="preserve"> El gráfico muestra que, entre 2020 y 2025, el delito de extorsión concentra de manera abrumadora la mayor proporción de casos, superando consistentemente el 96% cada año y alcanzando valores cercanos al 100%. Esto indica que la extorsión es el fenómeno predominante frente a otros delitos evaluados en la base de datos como el secuestro y el terrorismo, cuyos porcentajes son mínimos. Aunque se observa una ligera variación en 2020 y 2021, la tendencia general demuestra un dominio casi absoluto de la extorsión en el periodo analizado, confirmando que este es el verdadero foco del problema de seguridad.</w:t>
      </w:r>
    </w:p>
    <w:p w14:paraId="53968A52" w14:textId="77777777" w:rsidR="00CC0E4E" w:rsidRPr="00CC0E4E" w:rsidRDefault="00CC0E4E" w:rsidP="00CC0E4E">
      <w:pPr>
        <w:rPr>
          <w:rFonts w:cs="Arial"/>
        </w:rPr>
      </w:pPr>
      <w:proofErr w:type="spellStart"/>
      <w:r w:rsidRPr="00CC0E4E">
        <w:rPr>
          <w:rFonts w:cs="Arial"/>
          <w:b/>
          <w:bCs/>
        </w:rPr>
        <w:t>Grafico</w:t>
      </w:r>
      <w:proofErr w:type="spellEnd"/>
      <w:r w:rsidRPr="00CC0E4E">
        <w:rPr>
          <w:rFonts w:cs="Arial"/>
          <w:b/>
          <w:bCs/>
        </w:rPr>
        <w:t xml:space="preserve"> 3: Degradado de menor a mayor por año</w:t>
      </w:r>
      <w:r w:rsidRPr="00CC0E4E">
        <w:rPr>
          <w:rFonts w:cs="Arial"/>
        </w:rPr>
        <w:t xml:space="preserve"> Este gráfico muestra la evolución de los casos evidenciando una tendencia claramente creciente hasta 2024, seguida de una leve disminución en 2025. En 2020 se registran 196 casos, aumentando progresivamente en 2021 (259) y presentando un incremento notable en 2022 (647). A partir de ahí, el crecimiento se vuelve más acelerado, alcanzando 1,364 en 2023 y llegando a su punto máximo en 2024 con 1,504 casos. La reducción a 1,296 en 2025 podría indicar un inicio de estabilización gracias a intervenciones de las autoridades, o bien, que los datos del año en curso aún no están completos. En total, se acumulan 5,266 casos.</w:t>
      </w:r>
    </w:p>
    <w:p w14:paraId="51454541" w14:textId="77777777" w:rsidR="00CC0E4E" w:rsidRPr="00CC0E4E" w:rsidRDefault="00CC0E4E" w:rsidP="00CC0E4E">
      <w:pPr>
        <w:rPr>
          <w:rFonts w:cs="Arial"/>
        </w:rPr>
      </w:pPr>
      <w:proofErr w:type="spellStart"/>
      <w:r w:rsidRPr="00CC0E4E">
        <w:rPr>
          <w:rFonts w:cs="Arial"/>
          <w:b/>
          <w:bCs/>
        </w:rPr>
        <w:t>Grafico</w:t>
      </w:r>
      <w:proofErr w:type="spellEnd"/>
      <w:r w:rsidRPr="00CC0E4E">
        <w:rPr>
          <w:rFonts w:cs="Arial"/>
          <w:b/>
          <w:bCs/>
        </w:rPr>
        <w:t xml:space="preserve"> 4: Gráfico de cascada por hechos</w:t>
      </w:r>
      <w:r w:rsidRPr="00CC0E4E">
        <w:rPr>
          <w:rFonts w:cs="Arial"/>
        </w:rPr>
        <w:t xml:space="preserve"> El gráfico de cascada complementa la visión de la variación en la cantidad de casos a lo largo de los años. Al leerlo desde su punto máximo en 2024, se evidencian las disminuciones y aportes de cada año y delito específico a la cifra total acumulada. Esto nos permite ver gráficamente los "escalones" de crecimiento que tuvo el departamento desde su nivel más bajo en 2020 hasta la crisis actual.</w:t>
      </w:r>
    </w:p>
    <w:p w14:paraId="697EA3CE" w14:textId="77777777" w:rsidR="00CC0E4E" w:rsidRPr="00CC0E4E" w:rsidRDefault="00000000" w:rsidP="00CC0E4E">
      <w:pPr>
        <w:rPr>
          <w:rFonts w:cs="Arial"/>
        </w:rPr>
      </w:pPr>
      <w:r>
        <w:rPr>
          <w:rFonts w:cs="Arial"/>
        </w:rPr>
        <w:pict w14:anchorId="36A59559">
          <v:rect id="_x0000_i1027" style="width:0;height:1.5pt" o:hralign="center" o:hrstd="t" o:hr="t" fillcolor="#a0a0a0" stroked="f"/>
        </w:pict>
      </w:r>
    </w:p>
    <w:p w14:paraId="3A5F03D5" w14:textId="77777777" w:rsidR="00CC0E4E" w:rsidRPr="00CC0E4E" w:rsidRDefault="00CC0E4E" w:rsidP="00CC0E4E">
      <w:pPr>
        <w:rPr>
          <w:rFonts w:cs="Arial"/>
        </w:rPr>
      </w:pPr>
      <w:r w:rsidRPr="00CC0E4E">
        <w:rPr>
          <w:rFonts w:cs="Arial"/>
          <w:b/>
          <w:bCs/>
        </w:rPr>
        <w:t>Conclusión Final y Posibles Mejoras</w:t>
      </w:r>
    </w:p>
    <w:p w14:paraId="6A22CEBB" w14:textId="77777777" w:rsidR="00CC0E4E" w:rsidRPr="00CC0E4E" w:rsidRDefault="00CC0E4E" w:rsidP="00CC0E4E">
      <w:pPr>
        <w:rPr>
          <w:rFonts w:cs="Arial"/>
        </w:rPr>
      </w:pPr>
      <w:r w:rsidRPr="00CC0E4E">
        <w:rPr>
          <w:rFonts w:cs="Arial"/>
          <w:b/>
          <w:bCs/>
        </w:rPr>
        <w:t>Conclusión:</w:t>
      </w:r>
      <w:r w:rsidRPr="00CC0E4E">
        <w:rPr>
          <w:rFonts w:cs="Arial"/>
        </w:rPr>
        <w:t xml:space="preserve"> El análisis integral de los datos nos revela que no estamos frente a una ola de criminalidad generalizada, sino ante una problemática muy específica: una </w:t>
      </w:r>
      <w:r w:rsidRPr="00CC0E4E">
        <w:rPr>
          <w:rFonts w:cs="Arial"/>
          <w:b/>
          <w:bCs/>
        </w:rPr>
        <w:t>crisis de extorsión comercial y metropolitana</w:t>
      </w:r>
      <w:r w:rsidRPr="00CC0E4E">
        <w:rPr>
          <w:rFonts w:cs="Arial"/>
        </w:rPr>
        <w:t xml:space="preserve">. El perfil principal de este fenómeno es claro: extorsiones realizadas a través de llamadas telefónicas, ejecutadas principalmente a mitad de semana, y dirigidas en su mayoría a hombres dueños de negocios en los cascos urbanos de Barranquilla y Soledad. El salto desproporcionado de casos entre la pandemia (2020) y la reactivación (2024) evidencia que las </w:t>
      </w:r>
      <w:r w:rsidRPr="00CC0E4E">
        <w:rPr>
          <w:rFonts w:cs="Arial"/>
        </w:rPr>
        <w:lastRenderedPageBreak/>
        <w:t>estructuras criminales sistematizaron este delito como su principal fuente de ingresos.</w:t>
      </w:r>
    </w:p>
    <w:p w14:paraId="5461B94B" w14:textId="77777777" w:rsidR="00CC0E4E" w:rsidRPr="00CC0E4E" w:rsidRDefault="00CC0E4E" w:rsidP="00CC0E4E">
      <w:pPr>
        <w:rPr>
          <w:rFonts w:cs="Arial"/>
        </w:rPr>
      </w:pPr>
      <w:r w:rsidRPr="00CC0E4E">
        <w:rPr>
          <w:rFonts w:cs="Arial"/>
          <w:b/>
          <w:bCs/>
        </w:rPr>
        <w:t>Mejoras Operativas y Recomendaciones:</w:t>
      </w:r>
    </w:p>
    <w:p w14:paraId="440E5886" w14:textId="77777777" w:rsidR="00CC0E4E" w:rsidRPr="00CC0E4E" w:rsidRDefault="00CC0E4E" w:rsidP="00CC0E4E">
      <w:pPr>
        <w:numPr>
          <w:ilvl w:val="0"/>
          <w:numId w:val="5"/>
        </w:numPr>
        <w:rPr>
          <w:rFonts w:cs="Arial"/>
        </w:rPr>
      </w:pPr>
      <w:r w:rsidRPr="00CC0E4E">
        <w:rPr>
          <w:rFonts w:cs="Arial"/>
          <w:b/>
          <w:bCs/>
        </w:rPr>
        <w:t>Enfoque de Seguridad:</w:t>
      </w:r>
      <w:r w:rsidRPr="00CC0E4E">
        <w:rPr>
          <w:rFonts w:cs="Arial"/>
        </w:rPr>
        <w:t xml:space="preserve"> Dado que el 45% de los casos se dan por llamada telefónica, la inversión prioritaria de las autoridades no debe ir solo a patrullajes en las calles, sino a tecnología: inteligencia de telecomunicaciones e instalación de inhibidores de señal efectivos en los centros carcelarios.</w:t>
      </w:r>
    </w:p>
    <w:p w14:paraId="7566E431" w14:textId="77777777" w:rsidR="00CC0E4E" w:rsidRPr="00CC0E4E" w:rsidRDefault="00CC0E4E" w:rsidP="00CC0E4E">
      <w:pPr>
        <w:numPr>
          <w:ilvl w:val="0"/>
          <w:numId w:val="5"/>
        </w:numPr>
        <w:rPr>
          <w:rFonts w:cs="Arial"/>
        </w:rPr>
      </w:pPr>
      <w:r w:rsidRPr="00CC0E4E">
        <w:rPr>
          <w:rFonts w:cs="Arial"/>
          <w:b/>
          <w:bCs/>
        </w:rPr>
        <w:t>Prevención Focalizada:</w:t>
      </w:r>
      <w:r w:rsidRPr="00CC0E4E">
        <w:rPr>
          <w:rFonts w:cs="Arial"/>
        </w:rPr>
        <w:t xml:space="preserve"> Las campañas de prevención de entidades como el GAULA deben concentrarse de martes a viernes, en horarios comerciales, específicamente en Barranquilla y Soledad, educando a los comerciantes sobre cómo actuar ante una llamada intimidatoria.</w:t>
      </w:r>
    </w:p>
    <w:p w14:paraId="7634F895" w14:textId="7C42010A" w:rsidR="00C479E3" w:rsidRPr="00462B59" w:rsidRDefault="00C479E3">
      <w:pPr>
        <w:rPr>
          <w:rFonts w:cs="Arial"/>
        </w:rPr>
      </w:pPr>
    </w:p>
    <w:sectPr w:rsidR="00C479E3" w:rsidRPr="00462B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C13C3"/>
    <w:multiLevelType w:val="multilevel"/>
    <w:tmpl w:val="CB3E7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F2403"/>
    <w:multiLevelType w:val="multilevel"/>
    <w:tmpl w:val="A48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E194F"/>
    <w:multiLevelType w:val="multilevel"/>
    <w:tmpl w:val="523E6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E0B65"/>
    <w:multiLevelType w:val="multilevel"/>
    <w:tmpl w:val="8F32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07E0B"/>
    <w:multiLevelType w:val="multilevel"/>
    <w:tmpl w:val="7B1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9558">
    <w:abstractNumId w:val="0"/>
  </w:num>
  <w:num w:numId="2" w16cid:durableId="1620455892">
    <w:abstractNumId w:val="3"/>
  </w:num>
  <w:num w:numId="3" w16cid:durableId="559101950">
    <w:abstractNumId w:val="4"/>
  </w:num>
  <w:num w:numId="4" w16cid:durableId="974216073">
    <w:abstractNumId w:val="2"/>
  </w:num>
  <w:num w:numId="5" w16cid:durableId="492332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E05"/>
    <w:rsid w:val="00071232"/>
    <w:rsid w:val="00107725"/>
    <w:rsid w:val="00330686"/>
    <w:rsid w:val="003D3717"/>
    <w:rsid w:val="00462B59"/>
    <w:rsid w:val="005644F5"/>
    <w:rsid w:val="006C6BE8"/>
    <w:rsid w:val="007F1894"/>
    <w:rsid w:val="008E3E05"/>
    <w:rsid w:val="00A6249C"/>
    <w:rsid w:val="00A67F8E"/>
    <w:rsid w:val="00BD3992"/>
    <w:rsid w:val="00BE2609"/>
    <w:rsid w:val="00C479E3"/>
    <w:rsid w:val="00CC0E4E"/>
    <w:rsid w:val="00CD4A6D"/>
    <w:rsid w:val="00DB0FF8"/>
    <w:rsid w:val="00E07D8B"/>
    <w:rsid w:val="00EB19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1CE8"/>
  <w15:chartTrackingRefBased/>
  <w15:docId w15:val="{30896C86-536E-4011-8F14-DADD798F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E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E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E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E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E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E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E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E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E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E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E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E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E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E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E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E05"/>
    <w:rPr>
      <w:rFonts w:eastAsiaTheme="majorEastAsia" w:cstheme="majorBidi"/>
      <w:color w:val="272727" w:themeColor="text1" w:themeTint="D8"/>
    </w:rPr>
  </w:style>
  <w:style w:type="paragraph" w:styleId="Ttulo">
    <w:name w:val="Title"/>
    <w:basedOn w:val="Normal"/>
    <w:next w:val="Normal"/>
    <w:link w:val="TtuloCar"/>
    <w:uiPriority w:val="10"/>
    <w:qFormat/>
    <w:rsid w:val="008E3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E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E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E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E05"/>
    <w:pPr>
      <w:spacing w:before="160"/>
      <w:jc w:val="center"/>
    </w:pPr>
    <w:rPr>
      <w:i/>
      <w:iCs/>
      <w:color w:val="404040" w:themeColor="text1" w:themeTint="BF"/>
    </w:rPr>
  </w:style>
  <w:style w:type="character" w:customStyle="1" w:styleId="CitaCar">
    <w:name w:val="Cita Car"/>
    <w:basedOn w:val="Fuentedeprrafopredeter"/>
    <w:link w:val="Cita"/>
    <w:uiPriority w:val="29"/>
    <w:rsid w:val="008E3E05"/>
    <w:rPr>
      <w:i/>
      <w:iCs/>
      <w:color w:val="404040" w:themeColor="text1" w:themeTint="BF"/>
    </w:rPr>
  </w:style>
  <w:style w:type="paragraph" w:styleId="Prrafodelista">
    <w:name w:val="List Paragraph"/>
    <w:basedOn w:val="Normal"/>
    <w:uiPriority w:val="34"/>
    <w:qFormat/>
    <w:rsid w:val="008E3E05"/>
    <w:pPr>
      <w:ind w:left="720"/>
      <w:contextualSpacing/>
    </w:pPr>
  </w:style>
  <w:style w:type="character" w:styleId="nfasisintenso">
    <w:name w:val="Intense Emphasis"/>
    <w:basedOn w:val="Fuentedeprrafopredeter"/>
    <w:uiPriority w:val="21"/>
    <w:qFormat/>
    <w:rsid w:val="008E3E05"/>
    <w:rPr>
      <w:i/>
      <w:iCs/>
      <w:color w:val="0F4761" w:themeColor="accent1" w:themeShade="BF"/>
    </w:rPr>
  </w:style>
  <w:style w:type="paragraph" w:styleId="Citadestacada">
    <w:name w:val="Intense Quote"/>
    <w:basedOn w:val="Normal"/>
    <w:next w:val="Normal"/>
    <w:link w:val="CitadestacadaCar"/>
    <w:uiPriority w:val="30"/>
    <w:qFormat/>
    <w:rsid w:val="008E3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E05"/>
    <w:rPr>
      <w:i/>
      <w:iCs/>
      <w:color w:val="0F4761" w:themeColor="accent1" w:themeShade="BF"/>
    </w:rPr>
  </w:style>
  <w:style w:type="character" w:styleId="Referenciaintensa">
    <w:name w:val="Intense Reference"/>
    <w:basedOn w:val="Fuentedeprrafopredeter"/>
    <w:uiPriority w:val="32"/>
    <w:qFormat/>
    <w:rsid w:val="008E3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4</Pages>
  <Words>1302</Words>
  <Characters>7166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 Orozco Taborda</dc:creator>
  <cp:keywords/>
  <dc:description/>
  <cp:lastModifiedBy>carlos verbel</cp:lastModifiedBy>
  <cp:revision>2</cp:revision>
  <dcterms:created xsi:type="dcterms:W3CDTF">2026-04-09T13:32:00Z</dcterms:created>
  <dcterms:modified xsi:type="dcterms:W3CDTF">2026-04-09T13:32:00Z</dcterms:modified>
</cp:coreProperties>
</file>