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VIGÍA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Data Insights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  <w:u w:val="single"/>
        </w:rPr>
      </w:pP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Inicio</w:t>
        </w:r>
      </w:hyperlink>
      <w:r w:rsidDel="00000000" w:rsidR="00000000" w:rsidRPr="00000000">
        <w:rPr>
          <w:rtl w:val="0"/>
        </w:rPr>
        <w:t xml:space="preserve"> </w:t>
      </w: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Análisis BI</w:t>
        </w:r>
      </w:hyperlink>
      <w:r w:rsidDel="00000000" w:rsidR="00000000" w:rsidRPr="00000000">
        <w:rPr>
          <w:rtl w:val="0"/>
        </w:rPr>
        <w:t xml:space="preserve"> </w:t>
      </w: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Informe R</w:t>
        </w:r>
      </w:hyperlink>
      <w:r w:rsidDel="00000000" w:rsidR="00000000" w:rsidRPr="00000000">
        <w:rPr>
          <w:rtl w:val="0"/>
        </w:rPr>
        <w:t xml:space="preserve"> </w:t>
      </w: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Noticias</w:t>
        </w:r>
      </w:hyperlink>
      <w:r w:rsidDel="00000000" w:rsidR="00000000" w:rsidRPr="00000000">
        <w:rPr>
          <w:rtl w:val="0"/>
        </w:rPr>
        <w:t xml:space="preserve"> </w:t>
      </w: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App + IoT</w:t>
        </w:r>
      </w:hyperlink>
      <w:r w:rsidDel="00000000" w:rsidR="00000000" w:rsidRPr="00000000">
        <w:rPr>
          <w:rtl w:val="0"/>
        </w:rPr>
        <w:t xml:space="preserve"> </w:t>
      </w:r>
      <w:hyperlink w:anchor="mkdyfn770opw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Nosotros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900" w:firstLine="0"/>
        <w:jc w:val="left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78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ind w:left="900" w:right="90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Extorsión en Colombia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64.0000057220459" w:lineRule="auto"/>
        <w:ind w:left="900" w:right="90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2020 – 2025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ind w:left="900" w:right="9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Análisis estadístico · 61.705 registros · Policía Nacional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ind w:left="900" w:right="9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Foco: Departamento del Atlántico y Barranquilla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right="12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230" w:right="123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30" w:right="123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67.175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right="123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Casos nacionales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right="123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2020–2025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1230" w:right="1230" w:firstLine="0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30" w:right="123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5.266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right="123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Casos en el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30" w:right="123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Atlántico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ff6b6b"/>
          <w:sz w:val="48"/>
          <w:szCs w:val="48"/>
        </w:rPr>
      </w:pPr>
      <w:r w:rsidDel="00000000" w:rsidR="00000000" w:rsidRPr="00000000">
        <w:rPr>
          <w:color w:val="ff6b6b"/>
          <w:sz w:val="48"/>
          <w:szCs w:val="48"/>
          <w:rtl w:val="0"/>
        </w:rPr>
        <w:t xml:space="preserve">+667%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Crecimiento Atlántico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196 (2020) → 1.504 (2024)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54,1%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Concentración Barranquilla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3.248 de los 5.266 casos del Atlántico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74c0fc"/>
          <w:sz w:val="48"/>
          <w:szCs w:val="48"/>
        </w:rPr>
      </w:pPr>
      <w:r w:rsidDel="00000000" w:rsidR="00000000" w:rsidRPr="00000000">
        <w:rPr>
          <w:color w:val="74c0fc"/>
          <w:sz w:val="48"/>
          <w:szCs w:val="48"/>
          <w:rtl w:val="0"/>
        </w:rPr>
        <w:t xml:space="preserve">+67%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Crecimiento nacional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Atlántico creció 10× más que el promedio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5be584"/>
          <w:sz w:val="48"/>
          <w:szCs w:val="48"/>
        </w:rPr>
      </w:pPr>
      <w:r w:rsidDel="00000000" w:rsidR="00000000" w:rsidRPr="00000000">
        <w:rPr>
          <w:color w:val="5be584"/>
          <w:sz w:val="48"/>
          <w:szCs w:val="48"/>
          <w:rtl w:val="0"/>
        </w:rPr>
        <w:t xml:space="preserve">35,6%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Detectables por IoT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Directa + Carta = 1.874 casos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900" w:right="9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50" w:lineRule="auto"/>
        <w:ind w:left="1200" w:right="12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Estadísticas Atlántico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50" w:lineRule="auto"/>
        <w:ind w:left="1200" w:right="12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Proyección 2026–2030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50" w:lineRule="auto"/>
        <w:ind w:left="1200" w:right="12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Plan Estratégico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55" w:right="1155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95" w:lineRule="auto"/>
        <w:ind w:left="1155" w:right="1155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55" w:right="1155" w:firstLine="0"/>
        <w:rPr>
          <w:color w:val="ff6b6b"/>
          <w:sz w:val="14"/>
          <w:szCs w:val="14"/>
        </w:rPr>
      </w:pPr>
      <w:r w:rsidDel="00000000" w:rsidR="00000000" w:rsidRPr="00000000">
        <w:rPr>
          <w:color w:val="ff6b6b"/>
          <w:sz w:val="14"/>
          <w:szCs w:val="14"/>
          <w:rtl w:val="0"/>
        </w:rPr>
        <w:t xml:space="preserve">Situación crítica en el Atlántico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12.8000068664551" w:lineRule="auto"/>
        <w:ind w:left="1155" w:right="115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 departamento registró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196 casos en 2020</w:t>
      </w:r>
      <w:r w:rsidDel="00000000" w:rsidR="00000000" w:rsidRPr="00000000">
        <w:rPr>
          <w:sz w:val="16"/>
          <w:szCs w:val="16"/>
          <w:rtl w:val="0"/>
        </w:rPr>
        <w:t xml:space="preserve"> 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1.504 en 2024</w:t>
      </w:r>
      <w:r w:rsidDel="00000000" w:rsidR="00000000" w:rsidRPr="00000000">
        <w:rPr>
          <w:sz w:val="16"/>
          <w:szCs w:val="16"/>
          <w:rtl w:val="0"/>
        </w:rPr>
        <w:t xml:space="preserve">, un incremento del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667%</w:t>
      </w:r>
      <w:r w:rsidDel="00000000" w:rsidR="00000000" w:rsidRPr="00000000">
        <w:rPr>
          <w:sz w:val="16"/>
          <w:szCs w:val="16"/>
          <w:rtl w:val="0"/>
        </w:rPr>
        <w:t xml:space="preserve"> en cuatro años — diez veces superior al crecimiento nacional (+67%). Barranquilla concentra 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54,1%</w:t>
      </w:r>
      <w:r w:rsidDel="00000000" w:rsidR="00000000" w:rsidRPr="00000000">
        <w:rPr>
          <w:sz w:val="16"/>
          <w:szCs w:val="16"/>
          <w:rtl w:val="0"/>
        </w:rPr>
        <w:t xml:space="preserve"> del total departamental, con Soledad sumando otro 22,4%.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60" w:right="12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Tendencia nacional 2020–2025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Atlántico y Barranquilla por año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Medios utilizados — Atlántico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Municipios más afectados</w:t>
      </w:r>
    </w:p>
    <w:tbl>
      <w:tblPr>
        <w:tblStyle w:val="Table1"/>
        <w:tblW w:w="6840.0" w:type="dxa"/>
        <w:jc w:val="left"/>
        <w:tblInd w:w="12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80"/>
        <w:gridCol w:w="2280"/>
        <w:gridCol w:w="2280"/>
        <w:tblGridChange w:id="0">
          <w:tblGrid>
            <w:gridCol w:w="2280"/>
            <w:gridCol w:w="228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Municipio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Casos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Proporción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Barranquilla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2.844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54,1%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Soledad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1.178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22,4%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Malambo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5,3%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Sabanalarga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1,8%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Puerto Colombia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1,4%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Galapa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1,4%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1260" w:right="12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Víctimas por género — Atlántico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60" w:right="1260" w:firstLine="0"/>
        <w:rPr>
          <w:b w:val="1"/>
          <w:bCs w:val="1"/>
          <w:color w:val="74c0fc"/>
          <w:sz w:val="38"/>
          <w:szCs w:val="38"/>
        </w:rPr>
      </w:pPr>
      <w:r w:rsidDel="00000000" w:rsidR="00000000" w:rsidRPr="00000000">
        <w:rPr>
          <w:b w:val="1"/>
          <w:bCs w:val="1"/>
          <w:color w:val="74c0fc"/>
          <w:sz w:val="38"/>
          <w:szCs w:val="38"/>
          <w:rtl w:val="0"/>
        </w:rPr>
        <w:t xml:space="preserve">63,1%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60" w:right="12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Masculino · 2.951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60" w:right="126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32,9%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60" w:right="12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Femenino · 1.536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60" w:right="12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 de cada 3 víctimas es mujer.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60" w:right="12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Días de mayor incidencia — Atlántico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Distribución mensual — Atlántico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95" w:lineRule="auto"/>
        <w:ind w:left="1155" w:right="115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55" w:right="115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Oportunidad de intervención — Vigía Sentinel-X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12.8000068664551" w:lineRule="auto"/>
        <w:ind w:left="1155" w:right="115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22,7% son extorsiones directas (presenciales)</w:t>
      </w:r>
      <w:r w:rsidDel="00000000" w:rsidR="00000000" w:rsidRPr="00000000">
        <w:rPr>
          <w:sz w:val="16"/>
          <w:szCs w:val="16"/>
          <w:rtl w:val="0"/>
        </w:rPr>
        <w:t xml:space="preserve"> y 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10,7% por carta extorsiva</w:t>
      </w:r>
      <w:r w:rsidDel="00000000" w:rsidR="00000000" w:rsidRPr="00000000">
        <w:rPr>
          <w:sz w:val="16"/>
          <w:szCs w:val="16"/>
          <w:rtl w:val="0"/>
        </w:rPr>
        <w:t xml:space="preserve">, sumando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1.874 casos detectables</w:t>
      </w:r>
      <w:r w:rsidDel="00000000" w:rsidR="00000000" w:rsidRPr="00000000">
        <w:rPr>
          <w:sz w:val="16"/>
          <w:szCs w:val="16"/>
          <w:rtl w:val="0"/>
        </w:rPr>
        <w:t xml:space="preserve"> mediante visión artificial. Los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miércoles–viernes</w:t>
      </w:r>
      <w:r w:rsidDel="00000000" w:rsidR="00000000" w:rsidRPr="00000000">
        <w:rPr>
          <w:sz w:val="16"/>
          <w:szCs w:val="16"/>
          <w:rtl w:val="0"/>
        </w:rPr>
        <w:t xml:space="preserve"> y el trimestre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septiembre–noviembre</w:t>
      </w:r>
      <w:r w:rsidDel="00000000" w:rsidR="00000000" w:rsidRPr="00000000">
        <w:rPr>
          <w:sz w:val="16"/>
          <w:szCs w:val="16"/>
          <w:rtl w:val="0"/>
        </w:rPr>
        <w:t xml:space="preserve"> son los períodos de mayor concentración.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50" w:right="13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90" w:lineRule="auto"/>
        <w:ind w:left="1350" w:right="13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350" w:right="135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 de Proyección 2026–2030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427.1999931335449" w:lineRule="auto"/>
        <w:ind w:left="1350" w:right="135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Metodología:</w:t>
      </w:r>
      <w:r w:rsidDel="00000000" w:rsidR="00000000" w:rsidRPr="00000000">
        <w:rPr>
          <w:sz w:val="16"/>
          <w:szCs w:val="16"/>
          <w:rtl w:val="0"/>
        </w:rPr>
        <w:t xml:space="preserve"> Regresión lineal sobre datos 2020–2025 completos (Base de Datos Final · Policía Nacional). Tendencia observada: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+284 casos/año en el Atlántico</w:t>
      </w:r>
      <w:r w:rsidDel="00000000" w:rsidR="00000000" w:rsidRPr="00000000">
        <w:rPr>
          <w:sz w:val="16"/>
          <w:szCs w:val="16"/>
          <w:rtl w:val="0"/>
        </w:rPr>
        <w:t xml:space="preserve">. Variables de impacto: adopción gradual (5% año 1 → 70% año 5), reducción del 45% en casos detectables con sistema activo, efecto disuasivo del 10%.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50" w:right="1350" w:firstLine="0"/>
        <w:rPr>
          <w:color w:val="74c0fc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+284 casos/año tendencia Atlántico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6b6b"/>
          <w:sz w:val="16"/>
          <w:szCs w:val="16"/>
          <w:rtl w:val="0"/>
        </w:rPr>
        <w:t xml:space="preserve">3.010 proyectados 2030 sin IoT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5be584"/>
          <w:sz w:val="16"/>
          <w:szCs w:val="16"/>
          <w:rtl w:val="0"/>
        </w:rPr>
        <w:t xml:space="preserve">−18,2% reducción para 2030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4c0fc"/>
          <w:sz w:val="16"/>
          <w:szCs w:val="16"/>
          <w:rtl w:val="0"/>
        </w:rPr>
        <w:t xml:space="preserve">1.202 casos prevenidos 2026–2030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00" w:right="1200" w:firstLine="0"/>
        <w:rPr>
          <w:color w:val="74c0f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color w:val="74c0f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ff6b6b"/>
          <w:sz w:val="48"/>
          <w:szCs w:val="48"/>
        </w:rPr>
      </w:pPr>
      <w:r w:rsidDel="00000000" w:rsidR="00000000" w:rsidRPr="00000000">
        <w:rPr>
          <w:color w:val="ff6b6b"/>
          <w:sz w:val="48"/>
          <w:szCs w:val="48"/>
          <w:rtl w:val="0"/>
        </w:rPr>
        <w:t xml:space="preserve">3.010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Proyección 2030 sin IoT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Atlántico, escenario tendencial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5be584"/>
          <w:sz w:val="48"/>
          <w:szCs w:val="48"/>
        </w:rPr>
      </w:pPr>
      <w:r w:rsidDel="00000000" w:rsidR="00000000" w:rsidRPr="00000000">
        <w:rPr>
          <w:color w:val="5be584"/>
          <w:sz w:val="48"/>
          <w:szCs w:val="48"/>
          <w:rtl w:val="0"/>
        </w:rPr>
        <w:t xml:space="preserve">2.462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Proyección 2030 con IoT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Escenario base (70% adopción)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1.202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Casos prevenidos 5 años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Acumulado 2026–2030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200" w:right="12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color w:val="74c0fc"/>
          <w:sz w:val="48"/>
          <w:szCs w:val="48"/>
        </w:rPr>
      </w:pPr>
      <w:r w:rsidDel="00000000" w:rsidR="00000000" w:rsidRPr="00000000">
        <w:rPr>
          <w:color w:val="74c0fc"/>
          <w:sz w:val="48"/>
          <w:szCs w:val="48"/>
          <w:rtl w:val="0"/>
        </w:rPr>
        <w:t xml:space="preserve">18,2%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200" w:right="120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Reducción proyectada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Para el año 2030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30" w:lineRule="auto"/>
        <w:ind w:left="1260" w:right="12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Proyección Atlántico 2020–2030 · histórico + escenarios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185" w:right="118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185" w:right="118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185" w:right="1185" w:firstLine="0"/>
        <w:rPr>
          <w:color w:val="d35400"/>
          <w:sz w:val="12"/>
          <w:szCs w:val="12"/>
        </w:rPr>
      </w:pPr>
      <w:r w:rsidDel="00000000" w:rsidR="00000000" w:rsidRPr="00000000">
        <w:rPr>
          <w:color w:val="d35400"/>
          <w:sz w:val="12"/>
          <w:szCs w:val="12"/>
          <w:rtl w:val="0"/>
        </w:rPr>
        <w:t xml:space="preserve">Pesimista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85" w:right="1185" w:firstLine="0"/>
        <w:rPr>
          <w:color w:val="d35400"/>
          <w:sz w:val="44"/>
          <w:szCs w:val="44"/>
        </w:rPr>
      </w:pPr>
      <w:r w:rsidDel="00000000" w:rsidR="00000000" w:rsidRPr="00000000">
        <w:rPr>
          <w:color w:val="d35400"/>
          <w:sz w:val="44"/>
          <w:szCs w:val="44"/>
          <w:rtl w:val="0"/>
        </w:rPr>
        <w:t xml:space="preserve">−8%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185" w:right="118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30% de adopción para 2030. Aprox. </w:t>
      </w:r>
      <w:r w:rsidDel="00000000" w:rsidR="00000000" w:rsidRPr="00000000">
        <w:rPr>
          <w:b w:val="1"/>
          <w:bCs w:val="1"/>
          <w:color w:val="d35400"/>
          <w:sz w:val="14"/>
          <w:szCs w:val="14"/>
          <w:rtl w:val="0"/>
        </w:rPr>
        <w:t xml:space="preserve">~465 casos prevenidos</w:t>
      </w:r>
      <w:r w:rsidDel="00000000" w:rsidR="00000000" w:rsidRPr="00000000">
        <w:rPr>
          <w:sz w:val="14"/>
          <w:szCs w:val="14"/>
          <w:rtl w:val="0"/>
        </w:rPr>
        <w:t xml:space="preserve"> en 5 años.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185" w:right="1185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185" w:right="1185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Base (más probable)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85" w:right="1185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−18,2%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185" w:right="118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70% de adopción para 2030.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~1.202 casos prevenidos</w:t>
      </w:r>
      <w:r w:rsidDel="00000000" w:rsidR="00000000" w:rsidRPr="00000000">
        <w:rPr>
          <w:sz w:val="14"/>
          <w:szCs w:val="14"/>
          <w:rtl w:val="0"/>
        </w:rPr>
        <w:t xml:space="preserve"> en 5 años.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1185" w:right="1185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185" w:right="1185" w:firstLine="0"/>
        <w:rPr>
          <w:color w:val="5be584"/>
          <w:sz w:val="12"/>
          <w:szCs w:val="12"/>
        </w:rPr>
      </w:pPr>
      <w:r w:rsidDel="00000000" w:rsidR="00000000" w:rsidRPr="00000000">
        <w:rPr>
          <w:color w:val="5be584"/>
          <w:sz w:val="12"/>
          <w:szCs w:val="12"/>
          <w:rtl w:val="0"/>
        </w:rPr>
        <w:t xml:space="preserve">Optimista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85" w:right="1185" w:firstLine="0"/>
        <w:rPr>
          <w:color w:val="5be584"/>
          <w:sz w:val="44"/>
          <w:szCs w:val="44"/>
        </w:rPr>
      </w:pPr>
      <w:r w:rsidDel="00000000" w:rsidR="00000000" w:rsidRPr="00000000">
        <w:rPr>
          <w:color w:val="5be584"/>
          <w:sz w:val="44"/>
          <w:szCs w:val="44"/>
          <w:rtl w:val="0"/>
        </w:rPr>
        <w:t xml:space="preserve">−31%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1185" w:right="118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100% adopción + modelo fine-tuned. </w:t>
      </w:r>
      <w:r w:rsidDel="00000000" w:rsidR="00000000" w:rsidRPr="00000000">
        <w:rPr>
          <w:b w:val="1"/>
          <w:bCs w:val="1"/>
          <w:color w:val="5be584"/>
          <w:sz w:val="14"/>
          <w:szCs w:val="14"/>
          <w:rtl w:val="0"/>
        </w:rPr>
        <w:t xml:space="preserve">~930 casos prevenidos solo en 2030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60" w:right="12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Proyección anual detallada — Atlántico</w:t>
      </w:r>
    </w:p>
    <w:tbl>
      <w:tblPr>
        <w:tblStyle w:val="Table2"/>
        <w:tblW w:w="6840.0" w:type="dxa"/>
        <w:jc w:val="left"/>
        <w:tblInd w:w="12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8"/>
        <w:gridCol w:w="1368"/>
        <w:gridCol w:w="1368"/>
        <w:gridCol w:w="1368"/>
        <w:gridCol w:w="1368"/>
        <w:tblGridChange w:id="0">
          <w:tblGrid>
            <w:gridCol w:w="1368"/>
            <w:gridCol w:w="1368"/>
            <w:gridCol w:w="1368"/>
            <w:gridCol w:w="1368"/>
            <w:gridCol w:w="136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Año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Sin IoT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Con IoT base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Prevenidos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65.0" w:type="dxa"/>
              <w:bottom w:w="13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c0fc"/>
                <w:sz w:val="12"/>
                <w:szCs w:val="12"/>
              </w:rPr>
            </w:pPr>
            <w:r w:rsidDel="00000000" w:rsidR="00000000" w:rsidRPr="00000000">
              <w:rPr>
                <w:color w:val="74c0fc"/>
                <w:sz w:val="12"/>
                <w:szCs w:val="12"/>
                <w:rtl w:val="0"/>
              </w:rPr>
              <w:t xml:space="preserve">Adopción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1.873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1.849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color w:val="5be584"/>
                <w:sz w:val="16"/>
                <w:szCs w:val="16"/>
                <w:rtl w:val="0"/>
              </w:rPr>
              <w:t xml:space="preserve">24 (1,3%)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2027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2.157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2.073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color w:val="5be584"/>
                <w:sz w:val="16"/>
                <w:szCs w:val="16"/>
                <w:rtl w:val="0"/>
              </w:rPr>
              <w:t xml:space="preserve">84 (3,9%)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2.442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2.251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color w:val="5be584"/>
                <w:sz w:val="16"/>
                <w:szCs w:val="16"/>
                <w:rtl w:val="0"/>
              </w:rPr>
              <w:t xml:space="preserve">191 (7,8%)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2.726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2.371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color w:val="5be584"/>
                <w:sz w:val="16"/>
                <w:szCs w:val="16"/>
                <w:rtl w:val="0"/>
              </w:rPr>
              <w:t xml:space="preserve">355 (13,0%)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2030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3.010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2.462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color w:val="5be584"/>
                <w:sz w:val="16"/>
                <w:szCs w:val="16"/>
                <w:rtl w:val="0"/>
              </w:rPr>
              <w:t xml:space="preserve">548 (18,2%)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12.208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11.006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5be58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be584"/>
                <w:sz w:val="16"/>
                <w:szCs w:val="16"/>
                <w:rtl w:val="0"/>
              </w:rPr>
              <w:t xml:space="preserve">1.202 (9,8%)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65.0" w:type="dxa"/>
              <w:bottom w:w="10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260" w:right="12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Supuestos del modelo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1455" w:right="145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1455" w:right="145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455" w:right="1455" w:firstLine="0"/>
        <w:rPr>
          <w:color w:val="74c0fc"/>
          <w:sz w:val="32"/>
          <w:szCs w:val="32"/>
        </w:rPr>
      </w:pPr>
      <w:r w:rsidDel="00000000" w:rsidR="00000000" w:rsidRPr="00000000">
        <w:rPr>
          <w:color w:val="74c0fc"/>
          <w:sz w:val="32"/>
          <w:szCs w:val="32"/>
          <w:rtl w:val="0"/>
        </w:rPr>
        <w:t xml:space="preserve">35,6%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55" w:right="1455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Casos detectables por IoT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1455" w:right="1455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455" w:right="1455" w:firstLine="0"/>
        <w:rPr>
          <w:color w:val="74c0fc"/>
          <w:sz w:val="32"/>
          <w:szCs w:val="32"/>
        </w:rPr>
      </w:pPr>
      <w:r w:rsidDel="00000000" w:rsidR="00000000" w:rsidRPr="00000000">
        <w:rPr>
          <w:color w:val="74c0fc"/>
          <w:sz w:val="32"/>
          <w:szCs w:val="32"/>
          <w:rtl w:val="0"/>
        </w:rPr>
        <w:t xml:space="preserve">45%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55" w:right="1455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Reducción con sistema activo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1455" w:right="1455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455" w:right="1455" w:firstLine="0"/>
        <w:rPr>
          <w:color w:val="74c0fc"/>
          <w:sz w:val="32"/>
          <w:szCs w:val="32"/>
        </w:rPr>
      </w:pPr>
      <w:r w:rsidDel="00000000" w:rsidR="00000000" w:rsidRPr="00000000">
        <w:rPr>
          <w:color w:val="74c0fc"/>
          <w:sz w:val="32"/>
          <w:szCs w:val="32"/>
          <w:rtl w:val="0"/>
        </w:rPr>
        <w:t xml:space="preserve">10%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55" w:right="1455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Efecto disuasivo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1455" w:right="1455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455" w:right="1455" w:firstLine="0"/>
        <w:rPr>
          <w:color w:val="74c0fc"/>
          <w:sz w:val="32"/>
          <w:szCs w:val="32"/>
        </w:rPr>
      </w:pPr>
      <w:r w:rsidDel="00000000" w:rsidR="00000000" w:rsidRPr="00000000">
        <w:rPr>
          <w:color w:val="74c0fc"/>
          <w:sz w:val="32"/>
          <w:szCs w:val="32"/>
          <w:rtl w:val="0"/>
        </w:rPr>
        <w:t xml:space="preserve">284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55" w:right="1455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Casos/año tendencia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95" w:lineRule="auto"/>
        <w:ind w:left="1515" w:right="1515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515" w:right="1515" w:firstLine="0"/>
        <w:rPr>
          <w:color w:val="74c0fc"/>
          <w:sz w:val="14"/>
          <w:szCs w:val="14"/>
        </w:rPr>
      </w:pPr>
      <w:r w:rsidDel="00000000" w:rsidR="00000000" w:rsidRPr="00000000">
        <w:rPr>
          <w:color w:val="74c0fc"/>
          <w:sz w:val="14"/>
          <w:szCs w:val="14"/>
          <w:rtl w:val="0"/>
        </w:rPr>
        <w:t xml:space="preserve">Nota metodológica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12.8000068664551" w:lineRule="auto"/>
        <w:ind w:left="1515" w:right="151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Regresión lineal sobre 2020–2025 completo. Los supuestos se fundamentan en literatura de sistemas de videovigilancia con IA. Complementa el modelo ML del equipo (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Analisis_Extorsion_2026_IC_MEJORADO</w:t>
      </w:r>
      <w:r w:rsidDel="00000000" w:rsidR="00000000" w:rsidRPr="00000000">
        <w:rPr>
          <w:sz w:val="14"/>
          <w:szCs w:val="14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155" w:right="1155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95" w:lineRule="auto"/>
        <w:ind w:left="1155" w:right="1155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55" w:right="1155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 integral VIGÍA Data Insights — 3 frentes de intervención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12.8000068664551" w:lineRule="auto"/>
        <w:ind w:left="1155" w:right="115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 proyecto ataca la extorsión desde tres ángulos complementarios que cubren potencialmente más del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80% de los tipos de extorsión</w:t>
      </w:r>
      <w:r w:rsidDel="00000000" w:rsidR="00000000" w:rsidRPr="00000000">
        <w:rPr>
          <w:sz w:val="16"/>
          <w:szCs w:val="16"/>
          <w:rtl w:val="0"/>
        </w:rPr>
        <w:t xml:space="preserve"> registrados en el Atlántico.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1230" w:right="12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01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IoT · Vigía Sentinel-X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="408.0000114440918" w:lineRule="auto"/>
        <w:ind w:left="1230" w:right="12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Cámara inteligente con visión artificial que detecta en tiempo real: armas, rostros cubiertos, merodeo, panfletos y amenazas verbales. Genera evidencia digital y PDF oficial con cadena de custodia. Cubre el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35,6%</w:t>
      </w:r>
      <w:r w:rsidDel="00000000" w:rsidR="00000000" w:rsidRPr="00000000">
        <w:rPr>
          <w:sz w:val="14"/>
          <w:szCs w:val="14"/>
          <w:rtl w:val="0"/>
        </w:rPr>
        <w:t xml:space="preserve"> de los casos del Atlántico.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Prototipo funcional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02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de Denuncia Ciudadana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="408.0000114440918" w:lineRule="auto"/>
        <w:ind w:left="1230" w:right="12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Aplicación móvil para denuncia anónima y segura. Cubre llamada telefónica (39,7%) y redes sociales (11,7%). Complementa el IoT cubriendo el </w:t>
      </w:r>
      <w:r w:rsidDel="00000000" w:rsidR="00000000" w:rsidRPr="00000000">
        <w:rPr>
          <w:b w:val="1"/>
          <w:bCs w:val="1"/>
          <w:color w:val="74c0fc"/>
          <w:sz w:val="14"/>
          <w:szCs w:val="14"/>
          <w:rtl w:val="0"/>
        </w:rPr>
        <w:t xml:space="preserve">51,4%</w:t>
      </w:r>
      <w:r w:rsidDel="00000000" w:rsidR="00000000" w:rsidRPr="00000000">
        <w:rPr>
          <w:sz w:val="14"/>
          <w:szCs w:val="14"/>
          <w:rtl w:val="0"/>
        </w:rPr>
        <w:t xml:space="preserve"> adicional del espectro de modalidades.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Prototipo Figma activo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03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1230" w:right="12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Campaña de Socialización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="408.0000114440918" w:lineRule="auto"/>
        <w:ind w:left="1230" w:right="12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Estrategia preventiva dirigida a jóvenes en riesgo de reclutamiento. Actúa en la raíz del fenómeno. Efecto disuasivo estimado en el </w:t>
      </w:r>
      <w:r w:rsidDel="00000000" w:rsidR="00000000" w:rsidRPr="00000000">
        <w:rPr>
          <w:b w:val="1"/>
          <w:bCs w:val="1"/>
          <w:color w:val="5be584"/>
          <w:sz w:val="14"/>
          <w:szCs w:val="14"/>
          <w:rtl w:val="0"/>
        </w:rPr>
        <w:t xml:space="preserve">10–15%</w:t>
      </w:r>
      <w:r w:rsidDel="00000000" w:rsidR="00000000" w:rsidRPr="00000000">
        <w:rPr>
          <w:sz w:val="14"/>
          <w:szCs w:val="14"/>
          <w:rtl w:val="0"/>
        </w:rPr>
        <w:t xml:space="preserve"> del total de casos en el área de influencia.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30" w:right="1230" w:firstLine="0"/>
        <w:rPr>
          <w:color w:val="5be584"/>
          <w:sz w:val="12"/>
          <w:szCs w:val="12"/>
        </w:rPr>
      </w:pPr>
      <w:r w:rsidDel="00000000" w:rsidR="00000000" w:rsidRPr="00000000">
        <w:rPr>
          <w:color w:val="5be584"/>
          <w:sz w:val="12"/>
          <w:szCs w:val="12"/>
          <w:rtl w:val="0"/>
        </w:rPr>
        <w:t xml:space="preserve">En implementación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30" w:lineRule="auto"/>
        <w:ind w:left="1260" w:right="1260" w:firstLine="0"/>
        <w:rPr>
          <w:color w:val="5be584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260" w:right="1260" w:firstLine="0"/>
        <w:rPr>
          <w:color w:val="74c0fc"/>
          <w:sz w:val="12"/>
          <w:szCs w:val="12"/>
        </w:rPr>
      </w:pPr>
      <w:r w:rsidDel="00000000" w:rsidR="00000000" w:rsidRPr="00000000">
        <w:rPr>
          <w:color w:val="74c0fc"/>
          <w:sz w:val="12"/>
          <w:szCs w:val="12"/>
          <w:rtl w:val="0"/>
        </w:rPr>
        <w:t xml:space="preserve">Cobertura del plan por tipo de extorsión — Atlántico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95" w:lineRule="auto"/>
        <w:ind w:left="1155" w:right="1155" w:firstLine="0"/>
        <w:rPr>
          <w:color w:val="74c0f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55" w:right="1155" w:firstLine="0"/>
        <w:rPr>
          <w:color w:val="5be584"/>
          <w:sz w:val="14"/>
          <w:szCs w:val="14"/>
        </w:rPr>
      </w:pPr>
      <w:r w:rsidDel="00000000" w:rsidR="00000000" w:rsidRPr="00000000">
        <w:rPr>
          <w:color w:val="5be584"/>
          <w:sz w:val="14"/>
          <w:szCs w:val="14"/>
          <w:rtl w:val="0"/>
        </w:rPr>
        <w:t xml:space="preserve">Cobertura combinada potencial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12.8000068664551" w:lineRule="auto"/>
        <w:ind w:left="1155" w:right="115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 suma de los tres componentes cubre potencialmente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más del 80%</w:t>
      </w:r>
      <w:r w:rsidDel="00000000" w:rsidR="00000000" w:rsidRPr="00000000">
        <w:rPr>
          <w:sz w:val="16"/>
          <w:szCs w:val="16"/>
          <w:rtl w:val="0"/>
        </w:rPr>
        <w:t xml:space="preserve"> del total de casos registrados en el Atlántico. Barranquilla y Soledad, con el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76,5% de los casos</w:t>
      </w:r>
      <w:r w:rsidDel="00000000" w:rsidR="00000000" w:rsidRPr="00000000">
        <w:rPr>
          <w:sz w:val="16"/>
          <w:szCs w:val="16"/>
          <w:rtl w:val="0"/>
        </w:rPr>
        <w:t xml:space="preserve"> departamentales, son el foco inicial de despliegue.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Fuente: Base de Datos Final · Policía Nacional de Colombia · 61.705 registros · 2020–2025 · VIGÍA Data Insights · SENA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