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55" w:name="content"/>
    <w:bookmarkStart w:id="54" w:name="X57e3dc57c72a4ea3067a283b02923bf4d2c77c2"/>
    <w:p>
      <w:pPr>
        <w:pStyle w:val="Heading1"/>
      </w:pPr>
      <w:r>
        <w:t xml:space="preserve">รายงานวิเคราะห์ Medicare HCPCS 90739 สำหรับ Black-Swan Detection Pipeline</w:t>
      </w:r>
    </w:p>
    <w:bookmarkStart w:id="18" w:name="บทสรปผบรหาร"/>
    <w:p>
      <w:pPr>
        <w:pStyle w:val="Heading2"/>
      </w:pPr>
      <w:r>
        <w:t xml:space="preserve">บทสรุปผู้บริหาร</w:t>
      </w:r>
    </w:p>
    <w:p>
      <w:pPr>
        <w:pStyle w:val="FirstParagraph"/>
      </w:pPr>
      <w:r>
        <w:t xml:space="preserve">คอขวดหลักของโปรเจกต์ถูกแก้แล้ว:</w:t>
      </w:r>
      <w:r>
        <w:t xml:space="preserve"> </w:t>
      </w:r>
      <w:r>
        <w:rPr>
          <w:b/>
          <w:bCs/>
        </w:rPr>
        <w:t xml:space="preserve">สามารถดึงข้อมูล Medicare จริงระดับ National ของ HCPCS/CPT 90739 ครบปี 2020–2024 จาก CMS ได้สำเร็จ</w:t>
      </w:r>
      <w:r>
        <w:t xml:space="preserve"> </w:t>
      </w:r>
      <w:r>
        <w:t xml:space="preserve">ในรอบวิจัยนี้ โดย API ส่งกลับ 2 แถวต่อปี แยก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= facility และ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= non-facility; CMS data dictionary ยืนยันความหมายของตัวแปรนี้ และ schema มีทั้งจำนวนบริการ, average submitted charge, average allowed amount, average Medicare payment และ standardized payment.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หลังรวม</w:t>
      </w:r>
      <w:r>
        <w:t xml:space="preserve"> </w:t>
      </w:r>
      <w:r>
        <w:rPr>
          <w:rStyle w:val="VerbatimChar"/>
        </w:rPr>
        <w:t xml:space="preserve">F + O</w:t>
      </w:r>
      <w:r>
        <w:t xml:space="preserve"> </w:t>
      </w:r>
      <w:r>
        <w:t xml:space="preserve">อย่างถูกต้อง จำนวนบริการ 90739 ระดับประเทศคือ</w:t>
      </w:r>
      <w:r>
        <w:t xml:space="preserve"> </w:t>
      </w:r>
      <w:r>
        <w:rPr>
          <w:b/>
          <w:bCs/>
        </w:rPr>
        <w:t xml:space="preserve">7,787 ใน 2020 → 6,483 ใน 2021 → 12,397.5 ใน 2022 → 18,823 ใน 2023 → 18,999 ใน 2024</w:t>
      </w:r>
      <w:r>
        <w:t xml:space="preserve">. ปี 2024 เพิ่มจาก 2023 เพียง</w:t>
      </w:r>
      <w:r>
        <w:t xml:space="preserve"> </w:t>
      </w:r>
      <w:r>
        <w:rPr>
          <w:b/>
          <w:bCs/>
        </w:rPr>
        <w:t xml:space="preserve">176 services หรือ +0.94%</w:t>
      </w:r>
      <w:r>
        <w:t xml:space="preserve"> </w:t>
      </w:r>
      <w:r>
        <w:t xml:space="preserve">หลังจากเพิ่มแรงมากใน 2022 และ 2023.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hyperlink r:id="rId1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เมื่อรัน Black-Swan pipeline ด้วย threshold เดิมของเรา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3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v2 ไม่พบ anomaly</w:t>
      </w:r>
      <w:r>
        <w:t xml:space="preserve">, โดย Z-score ของการเปลี่ยนแปลงปีต่อปีเท่ากับประมาณ</w:t>
      </w:r>
      <w:r>
        <w:t xml:space="preserve"> </w:t>
      </w:r>
      <w:r>
        <w:rPr>
          <w:b/>
          <w:bCs/>
        </w:rPr>
        <w:t xml:space="preserve">−0.81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v3 ไม่พบ anomaly</w:t>
      </w:r>
      <w:r>
        <w:t xml:space="preserve"> </w:t>
      </w:r>
      <w:r>
        <w:t xml:space="preserve">เช่นกัน. โมเดล linear trend ซึ่งใช้เป็น primary model คาด</w:t>
      </w:r>
      <w:r>
        <w:t xml:space="preserve"> </w:t>
      </w:r>
      <w:r>
        <w:rPr>
          <w:rStyle w:val="VerbatimChar"/>
        </w:rPr>
        <w:t xml:space="preserve">Expected_2024 = 21,128.25</w:t>
      </w:r>
      <w:r>
        <w:t xml:space="preserve"> </w:t>
      </w:r>
      <w:r>
        <w:t xml:space="preserve">services ขณะที่ Actual =</w:t>
      </w:r>
      <w:r>
        <w:t xml:space="preserve"> </w:t>
      </w:r>
      <w:r>
        <w:rPr>
          <w:rStyle w:val="VerbatimChar"/>
        </w:rPr>
        <w:t xml:space="preserve">18,999</w:t>
      </w:r>
      <w:r>
        <w:t xml:space="preserve">; residual =</w:t>
      </w:r>
      <w:r>
        <w:t xml:space="preserve"> </w:t>
      </w:r>
      <w:r>
        <w:rPr>
          <w:rStyle w:val="VerbatimChar"/>
        </w:rPr>
        <w:t xml:space="preserve">−2,129.25</w:t>
      </w:r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0.73</m:t>
        </m:r>
      </m:oMath>
      <w:r>
        <w:t xml:space="preserve">. แม้เปลี่ยนเป็น simple mean หรือ ARIMA(1,0,0) ผลก็ยังไม่ถึงเกณฑ์ anomaly: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1.37</m:t>
        </m:r>
      </m:oMath>
      <w:r>
        <w:t xml:space="preserve"> </w:t>
      </w:r>
      <w:r>
        <w:t xml:space="preserve">และประมาณ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0.23</m:t>
        </m:r>
      </m:oMath>
      <w:r>
        <w:t xml:space="preserve"> </w:t>
      </w:r>
      <w:r>
        <w:t xml:space="preserve">ตามลำดับ. ตัวเลขเหล่านี้เป็นการคำนวณจาก series ของ CMS ข้างต้น.</w:t>
      </w:r>
    </w:p>
    <w:p>
      <w:pPr>
        <w:pStyle w:val="BodyText"/>
      </w:pPr>
      <w:r>
        <w:rPr>
          <w:b/>
          <w:bCs/>
        </w:rPr>
        <w:t xml:space="preserve">v4 ให้ข้อสรุปสำคัญกว่าที่เราเคยตั้งสมมติฐานไว้:</w:t>
      </w:r>
      <w:r>
        <w:t xml:space="preserve"> </w:t>
      </w:r>
      <w:r>
        <w:t xml:space="preserve">เหตุการณ์</w:t>
      </w:r>
      <w:r>
        <w:t xml:space="preserve"> </w:t>
      </w:r>
      <w:r>
        <w:rPr>
          <w:rStyle w:val="VerbatimChar"/>
        </w:rPr>
        <w:t xml:space="preserve">§411.355(h)</w:t>
      </w:r>
      <w:r>
        <w:t xml:space="preserve"> </w:t>
      </w:r>
      <w:r>
        <w:t xml:space="preserve">ของปี 2024 มีอยู่จริง แต่</w:t>
      </w:r>
      <w:r>
        <w:t xml:space="preserve"> </w:t>
      </w:r>
      <w:r>
        <w:rPr>
          <w:b/>
          <w:bCs/>
        </w:rPr>
        <w:t xml:space="preserve">ไม่ควรถูกใช้เป็นคำอธิบายเชิงสาเหตุของ utilization โดยอัตโนมัติ</w:t>
      </w:r>
      <w:r>
        <w:t xml:space="preserve">. §411.355(h) เป็น</w:t>
      </w:r>
      <w:r>
        <w:t xml:space="preserve"> </w:t>
      </w:r>
      <w:r>
        <w:rPr>
          <w:i/>
          <w:iCs/>
        </w:rPr>
        <w:t xml:space="preserve">exception to the physician self-referral prohibition</w:t>
      </w:r>
      <w:r>
        <w:t xml:space="preserve"> </w:t>
      </w:r>
      <w:r>
        <w:t xml:space="preserve">สำหรับ preventive screening tests/vaccines ที่เข้าเงื่อนไข ไม่ใช่การเริ่ม Medicare coverage ของ 90739; ตัวกฎเองกำหนดว่าวัคซีนต้อง “covered by Medicare” อยู่แล้ว และ CMS มีเอกสาร Medicare ก่อนปี 2024 ที่ระบุ 90739 เป็น Hepatitis B vaccine อยู่แล้ว.</w:t>
      </w:r>
      <w:r>
        <w:t xml:space="preserve"> </w:t>
      </w:r>
      <w:hyperlink r:id="rId1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ดังนั้นคำตัดสินปัจจุบันของ pipeline คือ:</w:t>
      </w:r>
    </w:p>
    <w:p>
      <w:pPr>
        <w:pStyle w:val="BlockText"/>
      </w:pPr>
      <w:r>
        <w:rPr>
          <w:b/>
          <w:bCs/>
        </w:rPr>
        <w:t xml:space="preserve">90739 ในปี 2024 = ไม่ใช่ Black Swan ตามข้อมูล National Medicare FFS นี้</w:t>
      </w:r>
      <w:r>
        <w:br/>
      </w:r>
      <w:r>
        <w:rPr>
          <w:b/>
          <w:bCs/>
        </w:rPr>
        <w:t xml:space="preserve">v2 = Normal, v3 = Normal, v4 = Normal + regulatory context logged.</w:t>
      </w:r>
    </w:p>
    <w:p>
      <w:pPr>
        <w:pStyle w:val="FirstParagraph"/>
      </w:pPr>
      <w:r>
        <w:t xml:space="preserve">นี่เป็น self-correction สำคัญของโปรเจกต์:</w:t>
      </w:r>
      <w:r>
        <w:t xml:space="preserve"> </w:t>
      </w:r>
      <w:r>
        <w:rPr>
          <w:rStyle w:val="VerbatimChar"/>
          <w:b/>
          <w:bCs/>
        </w:rPr>
        <w:t xml:space="preserve">known external event</w:t>
      </w:r>
      <w:r>
        <w:rPr>
          <w:b/>
          <w:bCs/>
        </w:rPr>
        <w:t xml:space="preserve"> </w:t>
      </w:r>
      <w:r>
        <w:rPr>
          <w:b/>
          <w:bCs/>
        </w:rPr>
        <w:t xml:space="preserve">ไม่ควรเท่ากับ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causal explanation</w:t>
      </w:r>
      <w:r>
        <w:rPr>
          <w:b/>
          <w:bCs/>
        </w:rPr>
        <w:t xml:space="preserve"> </w:t>
      </w:r>
      <w:r>
        <w:rPr>
          <w:b/>
          <w:bCs/>
        </w:rPr>
        <w:t xml:space="preserve">โดยอัตโนมัติ</w:t>
      </w:r>
      <w:r>
        <w:t xml:space="preserve">.</w:t>
      </w:r>
    </w:p>
    <w:bookmarkEnd w:id="18"/>
    <w:bookmarkStart w:id="34" w:name="แหลงขอมลและบนทกการดงขอมล"/>
    <w:p>
      <w:pPr>
        <w:pStyle w:val="Heading2"/>
      </w:pPr>
      <w:r>
        <w:t xml:space="preserve">แหล่งข้อมูลและบันทึกการดึงข้อมูล</w:t>
      </w:r>
    </w:p>
    <w:p>
      <w:pPr>
        <w:pStyle w:val="FirstParagraph"/>
      </w:pPr>
      <w:r>
        <w:t xml:space="preserve">ชุดข้อมูลหลักคือ</w:t>
      </w:r>
      <w:r>
        <w:t xml:space="preserve"> </w:t>
      </w:r>
      <w:r>
        <w:rPr>
          <w:b/>
          <w:bCs/>
        </w:rPr>
        <w:t xml:space="preserve">Medicare Physician &amp; Other Practitioners – by Geography and Service</w:t>
      </w:r>
      <w:r>
        <w:t xml:space="preserve"> </w:t>
      </w:r>
      <w:r>
        <w:t xml:space="preserve">ซึ่ง CMS ออกแบบให้มีข้อมูล Original Medicare Part B ตาม geography และ HCPCS พร้อม utilization และ payment measures. ชุดปัจจุบันรองรับรายปีถึง 2024 และ schema ปี 2024 มี</w:t>
      </w:r>
      <w:r>
        <w:t xml:space="preserve"> </w:t>
      </w:r>
      <w:r>
        <w:rPr>
          <w:rStyle w:val="VerbatimChar"/>
        </w:rPr>
        <w:t xml:space="preserve">Tot_Srvcs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Avg_Sbmtd_Chrg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Avg_Mdcr_Alowd_Amt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Avg_Mdcr_Pymt_Amt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Avg_Mdcr_Stdzd_Amt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9">
        <w:r>
          <w:rPr>
            <w:rStyle w:val="Hyperlink"/>
          </w:rPr>
          <w:t xml:space="preserve">[9]</w:t>
        </w:r>
      </w:hyperlink>
    </w:p>
    <w:bookmarkStart w:id="27" w:name="retrieval-log"/>
    <w:p>
      <w:pPr>
        <w:pStyle w:val="Heading3"/>
      </w:pPr>
      <w:r>
        <w:t xml:space="preserve">Retrieval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multi-year trend, 90739, National, 2020–2024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National row query 2020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 — 2 POS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National row query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 — 2 POS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National row query 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 — 2 POS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National row query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 — 2 POS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National row query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 — 2 POS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schema verification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CSV fallback</w:t>
            </w:r>
          </w:p>
        </w:tc>
        <w:tc>
          <w:tcPr/>
          <w:p>
            <w:pPr>
              <w:pStyle w:val="Compact"/>
            </w:pPr>
            <w:r>
              <w:t xml:space="preserve">พบ URL ครบ แต่</w:t>
            </w:r>
            <w:r>
              <w:t xml:space="preserve"> </w:t>
            </w:r>
            <w:r>
              <w:rPr>
                <w:b/>
                <w:bCs/>
              </w:rPr>
              <w:t xml:space="preserve">ไม่จำเป็นต้องใช้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mirror</w:t>
            </w:r>
          </w:p>
        </w:tc>
        <w:tc>
          <w:tcPr/>
          <w:p>
            <w:pPr>
              <w:pStyle w:val="Compact"/>
            </w:pPr>
            <w:r>
              <w:t xml:space="preserve">Data.gov ยืนยัน API/CSV distributions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evidence</w:t>
            </w:r>
          </w:p>
        </w:tc>
        <w:tc>
          <w:tcPr/>
          <w:p>
            <w:pPr>
              <w:pStyle w:val="Compact"/>
            </w:pPr>
            <w:r>
              <w:t xml:space="preserve">CMS + eCFR + Federal Register สำเร็จ</w:t>
            </w:r>
          </w:p>
        </w:tc>
      </w:tr>
    </w:tbl>
    <w:p>
      <w:pPr>
        <w:pStyle w:val="BodyText"/>
      </w:pPr>
      <w:r>
        <w:t xml:space="preserve">API ในรอบ deep-research นี้</w:t>
      </w:r>
      <w:r>
        <w:t xml:space="preserve"> </w:t>
      </w:r>
      <w:r>
        <w:rPr>
          <w:b/>
          <w:bCs/>
        </w:rPr>
        <w:t xml:space="preserve">ไม่เกิด 502</w:t>
      </w:r>
      <w:r>
        <w:t xml:space="preserve">; ต่างจากการพยายามก่อนหน้าในโปรเจกต์ที่เราเคยพบ upstream 502. ดังนั้นรอบนี้ไม่จำเป็นต้องเปลี่ยนไปใช้ annual CSV เพื่อให้ได้ตัวเลข แต่ผมตรวจหา fallback ไว้ครบแล้ว. Data.gov ซึ่งเป็น government catalog mirror แสดงทั้ง API distributions และ direct CMS CSV สำหรับ 2020–2024.</w:t>
      </w:r>
      <w:r>
        <w:t xml:space="preserve"> </w:t>
      </w:r>
      <w:hyperlink r:id="rId2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แหล่งหลัก:</w:t>
      </w:r>
    </w:p>
    <w:p>
      <w:pPr>
        <w:pStyle w:val="BodyText"/>
      </w:pPr>
      <w:hyperlink r:id="rId10">
        <w:r>
          <w:rPr>
            <w:rStyle w:val="Hyperlink"/>
          </w:rPr>
          <w:t xml:space="preserve">CMS dataset landing page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CMS data dictionary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Data.gov catalog mirror</w:t>
        </w:r>
      </w:hyperlink>
      <w:r>
        <w:t xml:space="preserve"> </w:t>
      </w:r>
      <w:hyperlink r:id="rId2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Direct API queries ที่ใช้:</w:t>
      </w:r>
    </w:p>
    <w:p>
      <w:pPr>
        <w:pStyle w:val="BodyText"/>
      </w:pPr>
      <w:hyperlink r:id="rId22">
        <w:r>
          <w:rPr>
            <w:rStyle w:val="Hyperlink"/>
          </w:rPr>
          <w:t xml:space="preserve">2020 API — 90739 National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2021 API — 90739 National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2022 API — 90739 National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2023 API — 90739 National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2024 API — 90739 National</w:t>
        </w:r>
      </w:hyperlink>
    </w:p>
    <w:p>
      <w:pPr>
        <w:pStyle w:val="BodyText"/>
      </w:pPr>
      <w:r>
        <w:t xml:space="preserve">CMS connector ยืนยัน provenance ของแต่ละ version และรายงานว่า 2024 dataset มีช่วงข้อมูล</w:t>
      </w:r>
      <w:r>
        <w:t xml:space="preserve"> </w:t>
      </w:r>
      <w:r>
        <w:rPr>
          <w:rStyle w:val="VerbatimChar"/>
        </w:rPr>
        <w:t xml:space="preserve">2024-01-01/2024-12-31</w:t>
      </w:r>
      <w:r>
        <w:t xml:space="preserve"> </w:t>
      </w:r>
      <w:r>
        <w:t xml:space="preserve">และ modified</w:t>
      </w:r>
      <w:r>
        <w:t xml:space="preserve"> </w:t>
      </w:r>
      <w:r>
        <w:rPr>
          <w:rStyle w:val="VerbatimChar"/>
        </w:rPr>
        <w:t xml:space="preserve">2026-05-21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[11]</w:t>
        </w:r>
      </w:hyperlink>
    </w:p>
    <w:bookmarkEnd w:id="27"/>
    <w:bookmarkStart w:id="33" w:name="csv-fallback-ทตรวจพบ"/>
    <w:p>
      <w:pPr>
        <w:pStyle w:val="Heading3"/>
      </w:pPr>
      <w:r>
        <w:t xml:space="preserve">CSV fallback ที่ตรวจพบ</w:t>
      </w:r>
    </w:p>
    <w:p>
      <w:pPr>
        <w:pStyle w:val="FirstParagraph"/>
      </w:pPr>
      <w:r>
        <w:t xml:space="preserve">แม้ไม่ได้ใช้ CSV เพื่อคำนวณรอบนี้ แต่ official CMS distributions ที่ Data.gov catalog ชี้ไปมีดังนี้.</w:t>
      </w:r>
      <w:r>
        <w:t xml:space="preserve"> </w:t>
      </w:r>
      <w:hyperlink r:id="rId20">
        <w:r>
          <w:rPr>
            <w:rStyle w:val="Hyperlink"/>
          </w:rPr>
          <w:t xml:space="preserve">[10]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CMS CSV 2020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CMS CSV 2021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CMS CSV 2022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CMS CSV 2023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CMS CSV 2024</w:t>
        </w:r>
      </w:hyperlink>
    </w:p>
    <w:p>
      <w:pPr>
        <w:pStyle w:val="BodyText"/>
      </w:pPr>
      <w:r>
        <w:t xml:space="preserve">นี่ทำให้ fallback architecture ของ agent ตอนนี้เป็นของจริง:</w:t>
      </w:r>
    </w:p>
    <w:p>
      <w:pPr>
        <w:pStyle w:val="SourceCode"/>
      </w:pPr>
      <w:r>
        <w:rPr>
          <w:rStyle w:val="VerbatimChar"/>
        </w:rPr>
        <w:t xml:space="preserve">CMS curated connector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CMS filtered API</w:t>
      </w:r>
      <w:r>
        <w:br/>
      </w:r>
      <w:r>
        <w:rPr>
          <w:rStyle w:val="VerbatimChar"/>
        </w:rPr>
        <w:t xml:space="preserve">        ↓ fail?</w:t>
      </w:r>
      <w:r>
        <w:br/>
      </w:r>
      <w:r>
        <w:rPr>
          <w:rStyle w:val="VerbatimChar"/>
        </w:rPr>
        <w:t xml:space="preserve">official annual CMS CSV</w:t>
      </w:r>
      <w:r>
        <w:br/>
      </w:r>
      <w:r>
        <w:rPr>
          <w:rStyle w:val="VerbatimChar"/>
        </w:rPr>
        <w:t xml:space="preserve">        ↓ fail?</w:t>
      </w:r>
      <w:r>
        <w:br/>
      </w:r>
      <w:r>
        <w:rPr>
          <w:rStyle w:val="VerbatimChar"/>
        </w:rPr>
        <w:t xml:space="preserve">Data.gov distribution metadata</w:t>
      </w:r>
      <w:r>
        <w:br/>
      </w:r>
      <w:r>
        <w:rPr>
          <w:rStyle w:val="VerbatimChar"/>
        </w:rPr>
        <w:t xml:space="preserve">        ↓ fail?</w:t>
      </w:r>
      <w:r>
        <w:br/>
      </w:r>
      <w:r>
        <w:rPr>
          <w:rStyle w:val="VerbatimChar"/>
        </w:rPr>
        <w:t xml:space="preserve">FAIL CLOSED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FABRICATED DATA</w:t>
      </w:r>
    </w:p>
    <w:bookmarkEnd w:id="33"/>
    <w:bookmarkEnd w:id="34"/>
    <w:bookmarkStart w:id="35" w:name="ชดขอมลททำความสะอาดแลว"/>
    <w:p>
      <w:pPr>
        <w:pStyle w:val="Heading2"/>
      </w:pPr>
      <w:r>
        <w:t xml:space="preserve">ชุดข้อมูลที่ทำความสะอาดแล้ว</w:t>
      </w:r>
    </w:p>
    <w:p>
      <w:pPr>
        <w:pStyle w:val="FirstParagraph"/>
      </w:pPr>
      <w:r>
        <w:t xml:space="preserve">CMS ส่งกลับ 2 records ต่อปีสำหรับ 90739: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หมายถึง facility และ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หมายถึง non-facility. ผมรวมจำนวนบริการด้วยการบวก</w:t>
      </w:r>
      <w:r>
        <w:t xml:space="preserve"> </w:t>
      </w:r>
      <w:r>
        <w:rPr>
          <w:rStyle w:val="VerbatimChar"/>
        </w:rPr>
        <w:t xml:space="preserve">Tot_Srvcs</w:t>
      </w:r>
      <w:r>
        <w:t xml:space="preserve"> </w:t>
      </w:r>
      <w:r>
        <w:t xml:space="preserve">และคำนวณค่า payment/allowed ระดับทั้ง code ด้วย</w:t>
      </w:r>
      <w:r>
        <w:t xml:space="preserve"> </w:t>
      </w:r>
      <w:r>
        <w:rPr>
          <w:b/>
          <w:bCs/>
        </w:rPr>
        <w:t xml:space="preserve">service-weighted average</w:t>
      </w:r>
      <w:r>
        <w:t xml:space="preserve"> </w:t>
      </w:r>
      <w:r>
        <w:t xml:space="preserve">แทนการเอาค่าเฉลี่ยของสองแถวมาเฉลี่ยกันตรง ๆ. CMS data dictionary ยืนยันความหมาย F/O และ CMS เตือนว่าจำนวน providers/beneficiaries ไม่ควรถูกบวกข้าม POS อย่างง่าย ดังนั้นผมไม่ได้สร้าง national beneficiary total จากสองแถวนี้.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สูตรคือ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r>
                <m:t>T</m:t>
              </m:r>
            </m:e>
          </m:nary>
          <m:r>
            <m:t>o</m:t>
          </m:r>
          <m:r>
            <m:t>t</m:t>
          </m:r>
          <m:r>
            <m:t>S</m:t>
          </m:r>
          <m:r>
            <m:t>r</m:t>
          </m:r>
          <m:r>
            <m:t>v</m:t>
          </m:r>
          <m:r>
            <m:t>c</m:t>
          </m:r>
          <m:sSub>
            <m:e>
              <m:r>
                <m:t>s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t>e</m:t>
          </m:r>
          <m:r>
            <m:t>d</m:t>
          </m:r>
          <m:r>
            <m:t>P</m:t>
          </m:r>
          <m:r>
            <m:t>a</m:t>
          </m:r>
          <m:r>
            <m:t>y</m:t>
          </m:r>
          <m:r>
            <m:t>m</m:t>
          </m:r>
          <m:r>
            <m:t>e</m:t>
          </m:r>
          <m:r>
            <m:t>n</m:t>
          </m:r>
          <m:sSub>
            <m:e>
              <m:r>
                <m:t>t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r>
                    <m:t>T</m:t>
                  </m:r>
                </m:e>
              </m:nary>
              <m:r>
                <m:t>o</m:t>
              </m:r>
              <m:r>
                <m:t>t</m:t>
              </m:r>
              <m:r>
                <m:t>S</m:t>
              </m:r>
              <m:r>
                <m:t>r</m:t>
              </m:r>
              <m:r>
                <m:t>v</m:t>
              </m:r>
              <m:r>
                <m:t>c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r>
                <m:t>A</m:t>
              </m:r>
              <m:r>
                <m:t>v</m:t>
              </m:r>
              <m:r>
                <m:t>g</m:t>
              </m:r>
              <m:r>
                <m:t>P</m:t>
              </m:r>
              <m:r>
                <m:t>a</m:t>
              </m:r>
              <m:r>
                <m:t>y</m:t>
              </m:r>
              <m:r>
                <m:t>m</m:t>
              </m:r>
              <m:r>
                <m:t>e</m:t>
              </m:r>
              <m:r>
                <m:t>n</m:t>
              </m:r>
              <m:sSub>
                <m:e>
                  <m:r>
                    <m:t>t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r>
                    <m:t>T</m:t>
                  </m:r>
                </m:e>
              </m:nary>
              <m:r>
                <m:t>o</m:t>
              </m:r>
              <m:r>
                <m:t>t</m:t>
              </m:r>
              <m:r>
                <m:t>S</m:t>
              </m:r>
              <m:r>
                <m:t>r</m:t>
              </m:r>
              <m:r>
                <m:t>v</m:t>
              </m:r>
              <m:r>
                <m:t>c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และเพื่อดู payment magnitude ผมสร้าง</w:t>
      </w:r>
      <w:r>
        <w:t xml:space="preserve"> </w:t>
      </w:r>
      <w:r>
        <w:rPr>
          <w:b/>
          <w:bCs/>
        </w:rPr>
        <w:t xml:space="preserve">estimated aggregate Medicare payment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s</m:t>
          </m:r>
          <m:r>
            <m:t>t</m:t>
          </m:r>
          <m:r>
            <m:t>i</m:t>
          </m:r>
          <m:r>
            <m:t>m</m:t>
          </m:r>
          <m:r>
            <m:t>a</m:t>
          </m:r>
          <m:r>
            <m:t>t</m:t>
          </m:r>
          <m:r>
            <m:t>e</m:t>
          </m:r>
          <m:r>
            <m:t>d</m:t>
          </m:r>
          <m:r>
            <m:t>P</m:t>
          </m:r>
          <m:r>
            <m:t>a</m:t>
          </m:r>
          <m:r>
            <m:t>y</m:t>
          </m:r>
          <m:r>
            <m:t>m</m:t>
          </m:r>
          <m:r>
            <m:t>e</m:t>
          </m:r>
          <m:r>
            <m:t>n</m:t>
          </m:r>
          <m:sSub>
            <m:e>
              <m:r>
                <m:t>t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T</m:t>
              </m:r>
            </m:e>
          </m:nary>
          <m:r>
            <m:t>o</m:t>
          </m:r>
          <m:r>
            <m:t>t</m:t>
          </m:r>
          <m:r>
            <m:t>S</m:t>
          </m:r>
          <m:r>
            <m:t>r</m:t>
          </m:r>
          <m:r>
            <m:t>v</m:t>
          </m:r>
          <m:r>
            <m:t>c</m:t>
          </m:r>
          <m:sSub>
            <m:e>
              <m:r>
                <m:t>s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×</m:t>
          </m:r>
          <m:r>
            <m:t>A</m:t>
          </m:r>
          <m:r>
            <m:t>v</m:t>
          </m:r>
          <m:r>
            <m:t>g</m:t>
          </m:r>
          <m:r>
            <m:t>M</m:t>
          </m:r>
          <m:r>
            <m:t>e</m:t>
          </m:r>
          <m:r>
            <m:t>d</m:t>
          </m:r>
          <m:r>
            <m:t>i</m:t>
          </m:r>
          <m:r>
            <m:t>c</m:t>
          </m:r>
          <m:r>
            <m:t>a</m:t>
          </m:r>
          <m:r>
            <m:t>r</m:t>
          </m:r>
          <m:r>
            <m:t>e</m:t>
          </m:r>
          <m:r>
            <m:t>P</m:t>
          </m:r>
          <m:r>
            <m:t>a</m:t>
          </m:r>
          <m:r>
            <m:t>y</m:t>
          </m:r>
          <m:r>
            <m:t>m</m:t>
          </m:r>
          <m:r>
            <m:t>e</m:t>
          </m:r>
          <m:r>
            <m:t>n</m:t>
          </m:r>
          <m:sSub>
            <m:e>
              <m:r>
                <m:t>t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ตัวสุดท้ายเป็น</w:t>
      </w:r>
      <w:r>
        <w:t xml:space="preserve"> </w:t>
      </w:r>
      <w:r>
        <w:rPr>
          <w:b/>
          <w:bCs/>
        </w:rPr>
        <w:t xml:space="preserve">ค่าที่เราคำนวณจากค่าเฉลี่ยที่ CMS เผยแพร่</w:t>
      </w:r>
      <w:r>
        <w:t xml:space="preserve"> </w:t>
      </w:r>
      <w:r>
        <w:t xml:space="preserve">ไม่ใช่ field “total payment” ที่ CMS ประกาศโดยตรง จึงอาจต่างเล็กน้อยจากยอด claim-level จริงเพราะ rounding.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ปี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avg allowed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avg Medicare 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Medicare payment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$986,817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−16.75%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$869,596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+91.23%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$1,750,717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+51.83%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$2,762,860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18,999.0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$153.93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$153.93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$2,924,510</w:t>
            </w:r>
          </w:p>
        </w:tc>
      </w:tr>
    </w:tbl>
    <w:p>
      <w:pPr>
        <w:pStyle w:val="BodyText"/>
      </w:pPr>
      <w:r>
        <w:t xml:space="preserve">2020 raw recordsประกอบด้วย facility 21 services และ non-facility 7,766 services.</w:t>
      </w:r>
      <w:r>
        <w:t xml:space="preserve"> </w:t>
      </w:r>
      <w:hyperlink r:id="rId1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2021 มี facility 98 และ non-facility 6,385 รวม 6,483.</w:t>
      </w:r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2022 มี facility 121 และ non-facility 12,276.5 รวม 12,397.5.</w:t>
      </w:r>
      <w:r>
        <w:t xml:space="preserve"> </w:t>
      </w:r>
      <w:hyperlink r:id="rId1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2023 มี facility 73 และ non-facility 18,750 รวม 18,823.</w:t>
      </w:r>
      <w:r>
        <w:t xml:space="preserve"> </w:t>
      </w:r>
      <w:hyperlink r:id="rId10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2024 มี facility 71 และ non-facility 18,928 รวม</w:t>
      </w:r>
      <w:r>
        <w:t xml:space="preserve"> </w:t>
      </w:r>
      <w:r>
        <w:rPr>
          <w:b/>
          <w:bCs/>
        </w:rPr>
        <w:t xml:space="preserve">18,999</w:t>
      </w:r>
      <w:r>
        <w:t xml:space="preserve">; average Medicare payment เป็น $156.37 ใน facility และ $153.92 ใน non-facility.</w:t>
      </w:r>
      <w:r>
        <w:t xml:space="preserve"> </w:t>
      </w:r>
      <w:hyperlink r:id="rId1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มี data-quality caveat หนึ่งจุดที่ควรใส่ใน agent เสมอ: CMS description ของ 90739 เปลี่ยนถ้อยคำระหว่างปี. 2020–2021 ใช้คำอธิบายเกี่ยวกับ adult 2-dose schedule, ปี 2022 ระบุสั้นกว่าเป็น adult Hepatitis B vaccine และ 2023–2024 ระบุ CPG-adjuvanted 2-dose/4-dose schedule. CMS trend tool เองแจ้ง</w:t>
      </w:r>
      <w:r>
        <w:t xml:space="preserve"> </w:t>
      </w:r>
      <w:r>
        <w:rPr>
          <w:rStyle w:val="VerbatimChar"/>
        </w:rPr>
        <w:t xml:space="preserve">description_changed=true</w:t>
      </w:r>
      <w:r>
        <w:t xml:space="preserve"> </w:t>
      </w:r>
      <w:r>
        <w:t xml:space="preserve">และเตือนให้ตรวจ clinical comparability ก่อนตีความ trend.</w:t>
      </w:r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</w:p>
    <w:bookmarkEnd w:id="35"/>
    <w:bookmarkStart w:id="39" w:name="วธสราง-expected-และนยาม-detector"/>
    <w:p>
      <w:pPr>
        <w:pStyle w:val="Heading2"/>
      </w:pPr>
      <w:r>
        <w:t xml:space="preserve">วิธีสร้าง Expected และนิยาม detector</w:t>
      </w:r>
    </w:p>
    <w:p>
      <w:pPr>
        <w:pStyle w:val="FirstParagraph"/>
      </w:pPr>
      <w:r>
        <w:t xml:space="preserve">เนื่องจาก baseline มีเพียง</w:t>
      </w:r>
      <w:r>
        <w:t xml:space="preserve"> </w:t>
      </w:r>
      <w:r>
        <w:rPr>
          <w:b/>
          <w:bCs/>
        </w:rPr>
        <w:t xml:space="preserve">4 annual observations: 2020–2023</w:t>
      </w:r>
      <w:r>
        <w:t xml:space="preserve"> </w:t>
      </w:r>
      <w:r>
        <w:t xml:space="preserve">โมเดลที่ซับซ้อนมีความเสี่ยง overfit สูงมาก. ดังนั้นผมใช้</w:t>
      </w:r>
      <w:r>
        <w:t xml:space="preserve"> </w:t>
      </w:r>
      <w:r>
        <w:rPr>
          <w:b/>
          <w:bCs/>
        </w:rPr>
        <w:t xml:space="preserve">linear trend เป็น primary detector model</w:t>
      </w:r>
      <w:r>
        <w:t xml:space="preserve">, simple mean เป็น conservative sensitivity test และ ARIMA(1,0,0) เป็น sensitivity เท่านั้น ไม่ถือ ARIMA เป็นหลักฐานที่แข็งแรงจาก sample เพียงสี่จุด.</w:t>
      </w:r>
    </w:p>
    <w:p>
      <w:pPr>
        <w:pStyle w:val="BodyText"/>
      </w:pPr>
      <w:r>
        <w:t xml:space="preserve">เกณฑ์เดียวกับระบบที่เราออกแบบไว้คือ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3</m:t>
          </m:r>
          <m:r>
            <m:rPr>
              <m:sty m:val="p"/>
            </m:rPr>
            <m:t>⇒</m:t>
          </m:r>
          <m:r>
            <m:t>A</m:t>
          </m:r>
          <m:r>
            <m:t>n</m:t>
          </m:r>
          <m:r>
            <m:t>o</m:t>
          </m:r>
          <m:r>
            <m:t>m</m:t>
          </m:r>
          <m:r>
            <m:t>a</m:t>
          </m:r>
          <m:r>
            <m:t>l</m:t>
          </m:r>
          <m:r>
            <m:t>y</m:t>
          </m:r>
        </m:oMath>
      </m:oMathPara>
    </w:p>
    <w:bookmarkStart w:id="36" w:name="simple-mean"/>
    <w:p>
      <w:pPr>
        <w:pStyle w:val="Heading3"/>
      </w:pPr>
      <w:r>
        <w:t xml:space="preserve">Simple mean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c</m:t>
          </m:r>
          <m:r>
            <m:t>t</m:t>
          </m:r>
          <m:r>
            <m:t>e</m:t>
          </m:r>
          <m:sSub>
            <m:e>
              <m:r>
                <m:t>d</m:t>
              </m:r>
            </m:e>
            <m:sub>
              <m:r>
                <m:t>2024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7787</m:t>
              </m:r>
              <m:r>
                <m:rPr>
                  <m:sty m:val="p"/>
                </m:rPr>
                <m:t>+</m:t>
              </m:r>
              <m:r>
                <m:t>6483</m:t>
              </m:r>
              <m:r>
                <m:rPr>
                  <m:sty m:val="p"/>
                </m:rPr>
                <m:t>+</m:t>
              </m:r>
              <m:r>
                <m:t>12397.5</m:t>
              </m:r>
              <m:r>
                <m:rPr>
                  <m:sty m:val="p"/>
                </m:rPr>
                <m:t>+</m:t>
              </m:r>
              <m:r>
                <m:t>18823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372.625</m:t>
          </m:r>
        </m:oMath>
      </m:oMathPara>
    </w:p>
    <w:p>
      <w:pPr>
        <w:pStyle w:val="FirstParagraph"/>
      </w:pPr>
      <w:r>
        <w:t xml:space="preserve">sample standard deviation ของ baseline: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577.44</m:t>
          </m:r>
        </m:oMath>
      </m:oMathPara>
    </w:p>
    <w:p>
      <w:pPr>
        <w:pStyle w:val="FirstParagraph"/>
      </w:pPr>
      <w:r>
        <w:t xml:space="preserve">จึงได้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s</m:t>
          </m:r>
          <m:r>
            <m:t>i</m:t>
          </m:r>
          <m:r>
            <m:t>d</m:t>
          </m:r>
          <m:r>
            <m:t>u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999</m:t>
          </m:r>
          <m:r>
            <m:rPr>
              <m:sty m:val="p"/>
            </m:rPr>
            <m:t>−</m:t>
          </m:r>
          <m:r>
            <m:t>11</m:t>
          </m:r>
          <m:r>
            <m:rPr>
              <m:sty m:val="p"/>
            </m:rPr>
            <m:t>,</m:t>
          </m:r>
          <m:r>
            <m:t>372.625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626.375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,</m:t>
              </m:r>
              <m:r>
                <m:t>626.375</m:t>
              </m:r>
            </m:num>
            <m:den>
              <m:r>
                <m:t>5</m:t>
              </m:r>
              <m:r>
                <m:rPr>
                  <m:sty m:val="p"/>
                </m:rPr>
                <m:t>,</m:t>
              </m:r>
              <m:r>
                <m:t>577.44</m:t>
              </m:r>
            </m:den>
          </m:f>
          <m:r>
            <m:rPr>
              <m:sty m:val="p"/>
            </m:rPr>
            <m:t>=</m:t>
          </m:r>
          <m:r>
            <m:t>1.37</m:t>
          </m:r>
        </m:oMath>
      </m:oMathPara>
    </w:p>
    <w:p>
      <w:pPr>
        <w:pStyle w:val="FirstParagraph"/>
      </w:pPr>
      <w:r>
        <w:rPr>
          <w:b/>
          <w:bCs/>
        </w:rPr>
        <w:t xml:space="preserve">ไม่เป็น anomaly</w:t>
      </w:r>
      <w:r>
        <w:t xml:space="preserve">.</w:t>
      </w:r>
    </w:p>
    <w:p>
      <w:pPr>
        <w:pStyle w:val="BodyText"/>
      </w:pPr>
      <w:r>
        <w:t xml:space="preserve">ข้อด้อยของ mean model คือมันทำเหมือน series ไม่มี time trend ทั้งที่ 2022–2023 เพิ่มอย่างแรง.</w:t>
      </w:r>
    </w:p>
    <w:bookmarkEnd w:id="36"/>
    <w:bookmarkStart w:id="37" w:name="linear-trend"/>
    <w:p>
      <w:pPr>
        <w:pStyle w:val="Heading3"/>
      </w:pPr>
      <w:r>
        <w:t xml:space="preserve">Linear trend</w:t>
      </w:r>
    </w:p>
    <w:p>
      <w:pPr>
        <w:pStyle w:val="FirstParagraph"/>
      </w:pPr>
      <w:r>
        <w:t xml:space="preserve">Fit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t</m:t>
          </m:r>
        </m:oMath>
      </m:oMathPara>
    </w:p>
    <w:p>
      <w:pPr>
        <w:pStyle w:val="FirstParagraph"/>
      </w:pPr>
      <w:r>
        <w:t xml:space="preserve">กับข้อมูล 2020–2023 ให้ slope ประมาณ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902.25</m:t>
          </m:r>
          <m:r>
            <m:t> </m:t>
          </m:r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r>
            <m:t>s</m:t>
          </m:r>
          <m:r>
            <m:rPr>
              <m:sty m:val="p"/>
            </m:rPr>
            <m:t>/</m:t>
          </m:r>
          <m:r>
            <m:t>y</m:t>
          </m:r>
          <m:r>
            <m:t>e</m:t>
          </m:r>
          <m:r>
            <m:t>a</m:t>
          </m:r>
          <m:r>
            <m:t>r</m:t>
          </m:r>
        </m:oMath>
      </m:oMathPara>
    </w:p>
    <w:p>
      <w:pPr>
        <w:pStyle w:val="FirstParagraph"/>
      </w:pPr>
      <w:r>
        <w:t xml:space="preserve">และ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c</m:t>
          </m:r>
          <m:r>
            <m:t>t</m:t>
          </m:r>
          <m:r>
            <m:t>e</m:t>
          </m:r>
          <m:sSub>
            <m:e>
              <m:r>
                <m:t>d</m:t>
              </m:r>
            </m:e>
            <m:sub>
              <m:r>
                <m:t>2024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128.25</m:t>
          </m:r>
        </m:oMath>
      </m:oMathPara>
    </w:p>
    <w:p>
      <w:pPr>
        <w:pStyle w:val="FirstParagraph"/>
      </w:pPr>
      <w:r>
        <w:t xml:space="preserve">ดังนั้น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s</m:t>
          </m:r>
          <m:r>
            <m:t>i</m:t>
          </m:r>
          <m:r>
            <m:t>d</m:t>
          </m:r>
          <m:r>
            <m:t>u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999</m:t>
          </m:r>
          <m:r>
            <m:rPr>
              <m:sty m:val="p"/>
            </m:rPr>
            <m:t>−</m:t>
          </m:r>
          <m:r>
            <m:t>21</m:t>
          </m:r>
          <m:r>
            <m:rPr>
              <m:sty m:val="p"/>
            </m:rPr>
            <m:t>,</m:t>
          </m:r>
          <m:r>
            <m:t>128.25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129.25</m:t>
          </m:r>
        </m:oMath>
      </m:oMathPara>
    </w:p>
    <w:p>
      <w:pPr>
        <w:pStyle w:val="FirstParagraph"/>
      </w:pPr>
      <w:r>
        <w:t xml:space="preserve">residual standard error ของ baseline trend: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trend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931.37</m:t>
          </m:r>
        </m:oMath>
      </m:oMathPara>
    </w:p>
    <w:p>
      <w:pPr>
        <w:pStyle w:val="FirstParagraph"/>
      </w:pPr>
      <w:r>
        <w:t xml:space="preserve">จึงได้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v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129.25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931.37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0.73</m:t>
          </m:r>
        </m:oMath>
      </m:oMathPara>
    </w:p>
    <w:p>
      <w:pPr>
        <w:pStyle w:val="FirstParagraph"/>
      </w:pPr>
      <w:r>
        <w:rPr>
          <w:b/>
          <w:bCs/>
        </w:rPr>
        <w:t xml:space="preserve">ไม่เป็น anomaly</w:t>
      </w:r>
      <w:r>
        <w:t xml:space="preserve">.</w:t>
      </w:r>
    </w:p>
    <w:bookmarkEnd w:id="37"/>
    <w:bookmarkStart w:id="38" w:name="arima-sensitivity"/>
    <w:p>
      <w:pPr>
        <w:pStyle w:val="Heading3"/>
      </w:pPr>
      <w:r>
        <w:t xml:space="preserve">ARIMA sensitivity</w:t>
      </w:r>
    </w:p>
    <w:p>
      <w:pPr>
        <w:pStyle w:val="FirstParagraph"/>
      </w:pPr>
      <w:r>
        <w:t xml:space="preserve">ARIMA(1,0,0) พร้อม trend ให้ one-step forecast ประมาณ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c</m:t>
          </m:r>
          <m:r>
            <m:t>t</m:t>
          </m:r>
          <m:r>
            <m:t>e</m:t>
          </m:r>
          <m:sSub>
            <m:e>
              <m:r>
                <m:t>d</m:t>
              </m:r>
            </m:e>
            <m:sub>
              <m:r>
                <m:t>2024</m:t>
              </m:r>
            </m:sub>
          </m:sSub>
          <m:r>
            <m:rPr>
              <m:sty m:val="p"/>
            </m:rPr>
            <m:t>≈</m:t>
          </m:r>
          <m:r>
            <m:t>19</m:t>
          </m:r>
          <m:r>
            <m:rPr>
              <m:sty m:val="p"/>
            </m:rPr>
            <m:t>,</m:t>
          </m:r>
          <m:r>
            <m:t>501.42</m:t>
          </m:r>
        </m:oMath>
      </m:oMathPara>
    </w:p>
    <w:p>
      <w:pPr>
        <w:pStyle w:val="FirstParagraph"/>
      </w:pPr>
      <w:r>
        <w:t xml:space="preserve">Residual:</w:t>
      </w:r>
    </w:p>
    <w:p>
      <w:pPr>
        <w:pStyle w:val="BodyText"/>
      </w:pPr>
      <m:oMathPara>
        <m:oMathParaPr>
          <m:jc m:val="center"/>
        </m:oMathParaPr>
        <m:oMath>
          <m:r>
            <m:t>18</m:t>
          </m:r>
          <m:r>
            <m:rPr>
              <m:sty m:val="p"/>
            </m:rPr>
            <m:t>,</m:t>
          </m:r>
          <m:r>
            <m:t>999</m:t>
          </m:r>
          <m:r>
            <m:rPr>
              <m:sty m:val="p"/>
            </m:rPr>
            <m:t>−</m:t>
          </m:r>
          <m:r>
            <m:t>19</m:t>
          </m:r>
          <m:r>
            <m:rPr>
              <m:sty m:val="p"/>
            </m:rPr>
            <m:t>,</m:t>
          </m:r>
          <m:r>
            <m:t>501.42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502.42</m:t>
          </m:r>
        </m:oMath>
      </m:oMathPara>
    </w:p>
    <w:p>
      <w:pPr>
        <w:pStyle w:val="FirstParagraph"/>
      </w:pPr>
      <w:r>
        <w:t xml:space="preserve">และ residual-based Z ประมาณ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0.23</m:t>
          </m:r>
        </m:oMath>
      </m:oMathPara>
    </w:p>
    <w:p>
      <w:pPr>
        <w:pStyle w:val="FirstParagraph"/>
      </w:pPr>
      <w:r>
        <w:t xml:space="preserve">ผลยังเป็น</w:t>
      </w:r>
      <w:r>
        <w:t xml:space="preserve"> </w:t>
      </w:r>
      <w:r>
        <w:rPr>
          <w:b/>
          <w:bCs/>
        </w:rPr>
        <w:t xml:space="preserve">ไม่ anomaly</w:t>
      </w:r>
      <w:r>
        <w:t xml:space="preserve">. แต่ค่าจาก ARIMA นี้ควรถูกมองเป็น sensitivity check เท่านั้น เพราะสี่ observations ไม่เพียงพอสำหรับการประเมิน time-series dynamics ที่น่าเชื่อถือ.</w:t>
      </w:r>
    </w:p>
    <w:p>
      <w:pPr>
        <w:pStyle w:val="BodyText"/>
      </w:pPr>
      <w:r>
        <w:t xml:space="preserve">สรุป model sensitivity: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Expected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 ที่ใช้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11,372.63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+7,626.38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5,577.44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+1.37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 trend — primary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21,128.25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18,999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−2,129.25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2,931.37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ARIMA(1,0,0),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≈19,501.42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≈−502.42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≈2,210.82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≈−0.23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</w:tr>
    </w:tbl>
    <w:p>
      <w:pPr>
        <w:pStyle w:val="BodyText"/>
      </w:pPr>
      <w:r>
        <w:t xml:space="preserve">ความน่าสนใจคือ</w:t>
      </w:r>
      <w:r>
        <w:t xml:space="preserve"> </w:t>
      </w:r>
      <w:r>
        <w:rPr>
          <w:b/>
          <w:bCs/>
        </w:rPr>
        <w:t xml:space="preserve">ข้อสรุปไม่เปลี่ยนเมื่อเปลี่ยนโมเดล</w:t>
      </w:r>
      <w:r>
        <w:t xml:space="preserve">: ไม่มี model ใดให้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ใกล้ 3.</w:t>
      </w:r>
    </w:p>
    <w:bookmarkEnd w:id="38"/>
    <w:bookmarkEnd w:id="39"/>
    <w:bookmarkStart w:id="43" w:name="ผลการตรวจ-v2-v3-และ-v4"/>
    <w:p>
      <w:pPr>
        <w:pStyle w:val="Heading2"/>
      </w:pPr>
      <w:r>
        <w:t xml:space="preserve">ผลการตรวจ v2, v3 และ v4</w:t>
      </w:r>
    </w:p>
    <w:bookmarkStart w:id="40" w:name="v2-year-to-year-change-detector"/>
    <w:p>
      <w:pPr>
        <w:pStyle w:val="Heading3"/>
      </w:pPr>
      <w:r>
        <w:t xml:space="preserve">v2 — year-to-year change detector</w:t>
      </w:r>
    </w:p>
    <w:p>
      <w:pPr>
        <w:pStyle w:val="FirstParagraph"/>
      </w:pPr>
      <w:r>
        <w:t xml:space="preserve">baseline changes คือ</w:t>
      </w:r>
    </w:p>
    <w:p>
      <w:pPr>
        <w:pStyle w:val="BodyText"/>
      </w:pPr>
      <m:oMathPara>
        <m:oMathParaPr>
          <m:jc m:val="center"/>
        </m:oMathParaPr>
        <m:oMath>
          <m:r>
            <m:t>2021</m:t>
          </m:r>
          <m:r>
            <m:rPr>
              <m:sty m:val="p"/>
            </m:rPr>
            <m:t>−</m:t>
          </m:r>
          <m:r>
            <m:t>2020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304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2022</m:t>
          </m:r>
          <m:r>
            <m:rPr>
              <m:sty m:val="p"/>
            </m:rPr>
            <m:t>−</m:t>
          </m:r>
          <m:r>
            <m:t>2021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,</m:t>
          </m:r>
          <m:r>
            <m:t>914.5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2023</m:t>
          </m:r>
          <m:r>
            <m:rPr>
              <m:sty m:val="p"/>
            </m:rPr>
            <m:t>−</m:t>
          </m:r>
          <m:r>
            <m:t>2022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  <m:r>
            <m:t>425.5</m:t>
          </m:r>
        </m:oMath>
      </m:oMathPara>
    </w:p>
    <w:p>
      <w:pPr>
        <w:pStyle w:val="FirstParagraph"/>
      </w:pPr>
      <w:r>
        <w:t xml:space="preserve">ค่าเฉลี่ยการเปลี่ยนแปลง: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678.67</m:t>
          </m:r>
        </m:oMath>
      </m:oMathPara>
    </w:p>
    <w:p>
      <w:pPr>
        <w:pStyle w:val="FirstParagraph"/>
      </w:pPr>
      <w:r>
        <w:t xml:space="preserve">standard deviation: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322.67</m:t>
          </m:r>
        </m:oMath>
      </m:oMathPara>
    </w:p>
    <w:p>
      <w:pPr>
        <w:pStyle w:val="FirstParagraph"/>
      </w:pPr>
      <w:r>
        <w:t xml:space="preserve">แต่ 2024 เปลี่ยนจริงเพียง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2024</m:t>
              </m:r>
            </m:sub>
          </m:sSub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999</m:t>
          </m:r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,</m:t>
          </m:r>
          <m:r>
            <m:t>823</m:t>
          </m:r>
          <m:r>
            <m:rPr>
              <m:sty m:val="p"/>
            </m:rPr>
            <m:t>=</m:t>
          </m:r>
          <m:r>
            <m:t>176</m:t>
          </m:r>
        </m:oMath>
      </m:oMathPara>
    </w:p>
    <w:p>
      <w:pPr>
        <w:pStyle w:val="FirstParagraph"/>
      </w:pPr>
      <w:r>
        <w:t xml:space="preserve">ดังนั้น residual ของ change detector คือ</w:t>
      </w:r>
    </w:p>
    <w:p>
      <w:pPr>
        <w:pStyle w:val="BodyText"/>
      </w:pPr>
      <m:oMathPara>
        <m:oMathParaPr>
          <m:jc m:val="center"/>
        </m:oMathParaPr>
        <m:oMath>
          <m:r>
            <m:t>176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678.67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502.67</m:t>
          </m:r>
        </m:oMath>
      </m:oMathPara>
    </w:p>
    <w:p>
      <w:pPr>
        <w:pStyle w:val="FirstParagraph"/>
      </w:pPr>
      <w:r>
        <w:t xml:space="preserve">และ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v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0.81</m:t>
          </m:r>
        </m:oMath>
      </m:oMathPara>
    </w:p>
    <w:p>
      <w:pPr>
        <w:pStyle w:val="FirstParagraph"/>
      </w:pPr>
      <w:r>
        <w:t xml:space="preserve">ดังนั้น</w:t>
      </w:r>
      <w:r>
        <w:t xml:space="preserve"> </w:t>
      </w:r>
      <w:r>
        <w:rPr>
          <w:b/>
          <w:bCs/>
        </w:rPr>
        <w:t xml:space="preserve">v2 = NORMAL</w:t>
      </w:r>
      <w:r>
        <w:t xml:space="preserve">.</w:t>
      </w:r>
    </w:p>
    <w:bookmarkEnd w:id="40"/>
    <w:bookmarkStart w:id="41" w:name="v3-actual-vs-expected-detector"/>
    <w:p>
      <w:pPr>
        <w:pStyle w:val="Heading3"/>
      </w:pPr>
      <w:r>
        <w:t xml:space="preserve">v3 — actual-vs-expected detector</w:t>
      </w:r>
    </w:p>
    <w:p>
      <w:pPr>
        <w:pStyle w:val="FirstParagraph"/>
      </w:pPr>
      <w:r>
        <w:t xml:space="preserve">ใช้ primary linear-trend model: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c</m:t>
          </m:r>
          <m:r>
            <m:t>t</m:t>
          </m:r>
          <m:r>
            <m:t>e</m:t>
          </m:r>
          <m:sSub>
            <m:e>
              <m:r>
                <m:t>d</m:t>
              </m:r>
            </m:e>
            <m:sub>
              <m:r>
                <m:t>2024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128.25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s</m:t>
          </m:r>
          <m:r>
            <m:t>i</m:t>
          </m:r>
          <m:r>
            <m:t>d</m:t>
          </m:r>
          <m:r>
            <m:t>u</m:t>
          </m:r>
          <m:r>
            <m:t>a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129.25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v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0.73</m:t>
          </m:r>
        </m:oMath>
      </m:oMathPara>
    </w:p>
    <w:p>
      <w:pPr>
        <w:pStyle w:val="FirstParagraph"/>
      </w:pPr>
      <w:r>
        <w:t xml:space="preserve">ดังนั้น</w:t>
      </w:r>
      <w:r>
        <w:t xml:space="preserve"> </w:t>
      </w:r>
      <w:r>
        <w:rPr>
          <w:b/>
          <w:bCs/>
        </w:rPr>
        <w:t xml:space="preserve">v3 = NORMAL</w:t>
      </w:r>
      <w:r>
        <w:t xml:space="preserve">.</w:t>
      </w:r>
    </w:p>
    <w:bookmarkEnd w:id="41"/>
    <w:bookmarkStart w:id="42" w:name="payment-signals"/>
    <w:p>
      <w:pPr>
        <w:pStyle w:val="Heading3"/>
      </w:pPr>
      <w:r>
        <w:t xml:space="preserve">Payment signals</w:t>
      </w:r>
    </w:p>
    <w:p>
      <w:pPr>
        <w:pStyle w:val="FirstParagraph"/>
      </w:pPr>
      <w:r>
        <w:t xml:space="preserve">ผล payment ไม่ได้บอกเรื่องตรงข้ามกับ utilization.</w:t>
      </w:r>
    </w:p>
    <w:p>
      <w:pPr>
        <w:pStyle w:val="BodyText"/>
      </w:pPr>
      <w:r>
        <w:t xml:space="preserve">Weighted average Medicare payment ปี 2024 คือประมาณ</w:t>
      </w:r>
      <w:r>
        <w:t xml:space="preserve"> </w:t>
      </w:r>
      <w:r>
        <w:rPr>
          <w:b/>
          <w:bCs/>
        </w:rPr>
        <w:t xml:space="preserve">$153.93/service</w:t>
      </w:r>
      <w:r>
        <w:t xml:space="preserve"> </w:t>
      </w:r>
      <w:r>
        <w:t xml:space="preserve">เทียบกับ linear-trend expectation ประมาณ</w:t>
      </w:r>
      <w:r>
        <w:t xml:space="preserve"> </w:t>
      </w:r>
      <w:r>
        <w:rPr>
          <w:b/>
          <w:bCs/>
        </w:rPr>
        <w:t xml:space="preserve">$154.03</w:t>
      </w:r>
      <w:r>
        <w:t xml:space="preserve">; residual เพียงประมาณ −$0.10 และ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0.14</m:t>
        </m:r>
      </m:oMath>
      <w:r>
        <w:t xml:space="preserve">.</w:t>
      </w:r>
    </w:p>
    <w:p>
      <w:pPr>
        <w:pStyle w:val="BodyText"/>
      </w:pPr>
      <w:r>
        <w:t xml:space="preserve">Estimated aggregate Medicare payment ปี 2024 คือประมาณ</w:t>
      </w:r>
      <w:r>
        <w:t xml:space="preserve"> </w:t>
      </w:r>
      <w:r>
        <w:rPr>
          <w:b/>
          <w:bCs/>
        </w:rPr>
        <w:t xml:space="preserve">$2.925 ล้าน</w:t>
      </w:r>
      <w:r>
        <w:t xml:space="preserve"> </w:t>
      </w:r>
      <w:r>
        <w:t xml:space="preserve">เทียบกับ trend expectation ประมาณ</w:t>
      </w:r>
      <w:r>
        <w:t xml:space="preserve"> </w:t>
      </w:r>
      <w:r>
        <w:rPr>
          <w:b/>
          <w:bCs/>
        </w:rPr>
        <w:t xml:space="preserve">$3.145 ล้าน</w:t>
      </w:r>
      <w:r>
        <w:t xml:space="preserve">; residual ประมาณ −$220,301 และ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0.52</m:t>
        </m:r>
      </m:oMath>
      <w:r>
        <w:t xml:space="preserve">.</w:t>
      </w:r>
    </w:p>
    <w:p>
      <w:pPr>
        <w:pStyle w:val="BodyText"/>
      </w:pPr>
      <w:r>
        <w:t xml:space="preserve">ดังนั้น secondary payment signals ก็</w:t>
      </w:r>
      <w:r>
        <w:t xml:space="preserve"> </w:t>
      </w:r>
      <w:r>
        <w:rPr>
          <w:b/>
          <w:bCs/>
        </w:rPr>
        <w:t xml:space="preserve">ไม่เข้า anomaly threshold</w:t>
      </w:r>
      <w:r>
        <w:t xml:space="preserve">. ตัวเลข payment ทั้งหมดคำนวณจาก CMS F/O records ที่เผยแพร่แต่ละปี.</w:t>
      </w:r>
      <w:r>
        <w:t xml:space="preserve"> </w:t>
      </w:r>
      <w:hyperlink r:id="rId10">
        <w:r>
          <w:rPr>
            <w:rStyle w:val="Hyperlink"/>
          </w:rPr>
          <w:t xml:space="preserve">[13]</w:t>
        </w:r>
      </w:hyperlink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  <w:r>
        <w:t xml:space="preserve"> </w:t>
      </w:r>
      <w:hyperlink r:id="rId10">
        <w:r>
          <w:rPr>
            <w:rStyle w:val="Hyperlink"/>
          </w:rPr>
          <w:t xml:space="preserve">[15]</w:t>
        </w:r>
      </w:hyperlink>
      <w:r>
        <w:t xml:space="preserve"> </w:t>
      </w:r>
      <w:hyperlink r:id="rId10">
        <w:r>
          <w:rPr>
            <w:rStyle w:val="Hyperlink"/>
          </w:rPr>
          <w:t xml:space="preserve">[16]</w:t>
        </w:r>
      </w:hyperlink>
      <w:r>
        <w:t xml:space="preserve"> </w:t>
      </w:r>
      <w:hyperlink r:id="rId1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ตาราง detector สุดท้าย: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Detector /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Anomaly?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services ΔYoY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+3,678.67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+176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−3,502.67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−0.81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Normal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 services — 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21,128.25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−2,129.25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−0.73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services — mean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11,372.63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+7,626.38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+1.37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services — ARIMA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≈19,501.42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≈−502.42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≈−0.23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avg payment — 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≈$154.03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≈−$0.10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≈−0.14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est. total payment — 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≈$3.145M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$2.925M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≈−$0.220M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≈−0.52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 services + §411.355(h)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−0.73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 + external context logged</w:t>
            </w:r>
          </w:p>
        </w:tc>
      </w:tr>
    </w:tbl>
    <w:p>
      <w:pPr>
        <w:pStyle w:val="BodyText"/>
      </w:pPr>
      <w:r>
        <w:t xml:space="preserve">ดังนั้นตาม threshold ที่กำหนดไว้</w:t>
      </w:r>
      <w:r>
        <w:t xml:space="preserve"> </w:t>
      </w:r>
      <w:r>
        <w:rPr>
          <w:b/>
          <w:bCs/>
        </w:rPr>
        <w:t xml:space="preserve">ไม่มี Black-Swan candidate ในปี 2024</w:t>
      </w:r>
      <w:r>
        <w:t xml:space="preserve">.</w:t>
      </w:r>
    </w:p>
    <w:bookmarkEnd w:id="42"/>
    <w:bookmarkEnd w:id="43"/>
    <w:bookmarkStart w:id="52" w:name="เหตการณกำกบดแลและการแกตรรกะ-v4"/>
    <w:p>
      <w:pPr>
        <w:pStyle w:val="Heading2"/>
      </w:pPr>
      <w:r>
        <w:t xml:space="preserve">เหตุการณ์กำกับดูแลและการแก้ตรรกะ v4</w:t>
      </w:r>
    </w:p>
    <w:p>
      <w:pPr>
        <w:pStyle w:val="FirstParagraph"/>
      </w:pPr>
      <w:r>
        <w:t xml:space="preserve">นี่คือส่วนที่ให้ผลเชิงสถาปัตยกรรมสำคัญที่สุด.</w:t>
      </w:r>
    </w:p>
    <w:p>
      <w:pPr>
        <w:pStyle w:val="BodyText"/>
      </w:pPr>
      <w:r>
        <w:t xml:space="preserve">CMS ระบุว่า annual Code List ปี 2024 เดิมมีผู้แสดงความคิดเห็นว่า</w:t>
      </w:r>
      <w:r>
        <w:t xml:space="preserve"> </w:t>
      </w:r>
      <w:r>
        <w:rPr>
          <w:b/>
          <w:bCs/>
        </w:rPr>
        <w:t xml:space="preserve">90739 ถูกตกหล่น</w:t>
      </w:r>
      <w:r>
        <w:t xml:space="preserve"> </w:t>
      </w:r>
      <w:r>
        <w:t xml:space="preserve">จากรายการ vaccine codes ที่ exception ตาม §411.355(h) ควรใช้. CMS เห็นด้วยและแก้ list แต่ปฏิเสธคำขอให้มีผลย้อนหลังถึง 1 มกราคม 2024 โดยระบุว่า applicability สำหรับ 90739 เป็น</w:t>
      </w:r>
      <w:r>
        <w:t xml:space="preserve"> </w:t>
      </w:r>
      <w:r>
        <w:rPr>
          <w:b/>
          <w:bCs/>
        </w:rPr>
        <w:t xml:space="preserve">prospective only</w:t>
      </w:r>
      <w:r>
        <w:t xml:space="preserve"> </w:t>
      </w:r>
      <w:r>
        <w:t xml:space="preserve">และมีผลตามวันที่ระบุบน UPDATED Code List. CMS webpage ระบุว่า UPDATED list ถูกเผยแพร่</w:t>
      </w:r>
      <w:r>
        <w:t xml:space="preserve"> </w:t>
      </w:r>
      <w:r>
        <w:rPr>
          <w:b/>
          <w:bCs/>
        </w:rPr>
        <w:t xml:space="preserve">1 มีนาคม 2024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อย่างไรก็ตาม ผมไม่ควรกล่าวเกินหลักฐานว่า “effective date ของ 90739 คือ 1 มีนาคม 2024” แบบเด็ดขาด เพราะ CMS เขียนให้</w:t>
      </w:r>
      <w:r>
        <w:t xml:space="preserve"> </w:t>
      </w:r>
      <w:r>
        <w:rPr>
          <w:b/>
          <w:bCs/>
        </w:rPr>
        <w:t xml:space="preserve">วันที่ใน UPDATED ZIP เป็น controlling date</w:t>
      </w:r>
      <w:r>
        <w:t xml:space="preserve"> </w:t>
      </w:r>
      <w:r>
        <w:t xml:space="preserve">และ web parser ของเรายังไม่ได้เปิดเนื้อหาภายใน ZIP นั้น. สิ่งที่ตรวจยืนยันได้คือ</w:t>
      </w:r>
      <w:r>
        <w:t xml:space="preserve"> </w:t>
      </w:r>
      <w:r>
        <w:rPr>
          <w:b/>
          <w:bCs/>
        </w:rPr>
        <w:t xml:space="preserve">publication = 2024-03-01 และ applicability = prospective on the date indicated in the updated list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[18]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189574"/>
                  <wp:effectExtent b="0" l="0" r="0" t="0"/>
                  <wp:docPr descr="Rendered Mermaid diagram 1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9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CDC ออก updated ACIP recommendation ในปี 2022 ให้ HepB vaccination สำหรับผู้ใหญ่อายุ 19–59 ปี และสำหรับอายุ ≥60 ปีที่มี risk factors; นี่เป็น external clinical-policy event ที่ตรงเวลาใกล้กับการเพิ่ม utilization ใน 2022–2023 มากกว่าการแก้ §411.355(h) ในปี 2024 แม้จะยัง</w:t>
      </w:r>
      <w:r>
        <w:t xml:space="preserve"> </w:t>
      </w:r>
      <w:r>
        <w:rPr>
          <w:b/>
          <w:bCs/>
        </w:rPr>
        <w:t xml:space="preserve">พิสูจน์ causality จาก dataset นี้ไม่ได้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ที่สำคัญกว่า: §411.355(h) เองระบุว่า preventive vaccine ที่จะใช้ exception นี้ต้อง</w:t>
      </w:r>
      <w:r>
        <w:t xml:space="preserve"> </w:t>
      </w:r>
      <w:r>
        <w:rPr>
          <w:b/>
          <w:bCs/>
        </w:rPr>
        <w:t xml:space="preserve">ถูก Medicare cover อยู่แล้ว</w:t>
      </w:r>
      <w:r>
        <w:t xml:space="preserve">, อยู่ใน Code List และเข้าเงื่อนไขอื่นของกฎ.</w:t>
      </w:r>
      <w:r>
        <w:t xml:space="preserve"> </w:t>
      </w:r>
      <w:hyperlink r:id="rId1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Federal Register อธิบายว่า self-referral exceptions มีหน้าที่อนุญาต referral/claims สำหรับ designated health services เมื่อเข้าเงื่อนไข ไม่ใช่เปลี่ยนสถานะของบริการเป็นคนละประเภท.</w:t>
      </w:r>
      <w:r>
        <w:t xml:space="preserve"> </w:t>
      </w:r>
      <w:hyperlink r:id="rId49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และ 90739 ไม่ใช่ code ที่เพิ่งเริ่ม Medicare-related billing ในปี 2024: CMS materials ก่อนหน้านั้นหลายปีระบุ 90739 เป็น adult Hepatitis B vaccine แล้ว.</w:t>
      </w:r>
      <w:r>
        <w:t xml:space="preserve"> </w:t>
      </w: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ปัจจุบัน CMS Medicare Coverage Database ก็ยังระบุ 90739 ในกลุ่ม Hepatitis B vaccines สำหรับผู้รับ Medicare ที่เข้า intermediate/high-risk criteria.</w:t>
      </w:r>
      <w:r>
        <w:t xml:space="preserve"> </w:t>
      </w:r>
      <w:hyperlink r:id="rId5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ดังนั้น</w:t>
      </w:r>
      <w:r>
        <w:t xml:space="preserve"> </w:t>
      </w:r>
      <w:r>
        <w:rPr>
          <w:b/>
          <w:bCs/>
        </w:rPr>
        <w:t xml:space="preserve">ตรรกะ v4 แบบเดิมต้องแก้</w:t>
      </w:r>
      <w:r>
        <w:t xml:space="preserve"> </w:t>
      </w:r>
      <w:r>
        <w:t xml:space="preserve">จาก:</w:t>
      </w:r>
    </w:p>
    <w:p>
      <w:pPr>
        <w:pStyle w:val="SourceCode"/>
      </w:pPr>
      <w:r>
        <w:rPr>
          <w:rStyle w:val="VerbatimChar"/>
        </w:rPr>
        <w:t xml:space="preserve">ANOMALY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known external event?</w:t>
      </w:r>
      <w:r>
        <w:br/>
      </w:r>
      <w:r>
        <w:rPr>
          <w:rStyle w:val="VerbatimChar"/>
        </w:rPr>
        <w:t xml:space="preserve">   ↓ yes</w:t>
      </w:r>
      <w:r>
        <w:br/>
      </w:r>
      <w:r>
        <w:rPr>
          <w:rStyle w:val="VerbatimChar"/>
        </w:rPr>
        <w:t xml:space="preserve">EXPLAINED STRUCTURAL BREAK</w:t>
      </w:r>
    </w:p>
    <w:p>
      <w:pPr>
        <w:pStyle w:val="FirstParagraph"/>
      </w:pPr>
      <w:r>
        <w:t xml:space="preserve">เป็น:</w:t>
      </w:r>
    </w:p>
    <w:p>
      <w:pPr>
        <w:pStyle w:val="SourceCode"/>
      </w:pPr>
      <w:r>
        <w:rPr>
          <w:rStyle w:val="VerbatimChar"/>
        </w:rPr>
        <w:t xml:space="preserve">ANOMALY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event found?</w:t>
      </w:r>
      <w:r>
        <w:br/>
      </w:r>
      <w:r>
        <w:rPr>
          <w:rStyle w:val="VerbatimChar"/>
        </w:rPr>
        <w:t xml:space="preserve">   ↓ yes</w:t>
      </w:r>
      <w:r>
        <w:br/>
      </w:r>
      <w:r>
        <w:rPr>
          <w:rStyle w:val="VerbatimChar"/>
        </w:rPr>
        <w:t xml:space="preserve">CAUSAL RELEVANCE CHECK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directly changes coverage / eligibility / payment / coding</w:t>
      </w:r>
      <w:r>
        <w:br/>
      </w:r>
      <w:r>
        <w:rPr>
          <w:rStyle w:val="VerbatimChar"/>
        </w:rPr>
        <w:t xml:space="preserve">   │        ↓</w:t>
      </w:r>
      <w:r>
        <w:br/>
      </w:r>
      <w:r>
        <w:rPr>
          <w:rStyle w:val="VerbatimChar"/>
        </w:rPr>
        <w:t xml:space="preserve">   │   plausible explained break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contextual / indirect regulation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keep anomaly unresolved</w:t>
      </w:r>
    </w:p>
    <w:p>
      <w:pPr>
        <w:pStyle w:val="FirstParagraph"/>
      </w:pPr>
      <w:r>
        <w:t xml:space="preserve">สำหรับ</w:t>
      </w:r>
      <w:r>
        <w:t xml:space="preserve"> </w:t>
      </w:r>
      <w:r>
        <w:rPr>
          <w:rStyle w:val="VerbatimChar"/>
        </w:rPr>
        <w:t xml:space="preserve">90739 / §411.355(h)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External event detected = YES</w:t>
      </w:r>
      <w:r>
        <w:br/>
      </w:r>
      <w:r>
        <w:rPr>
          <w:rStyle w:val="VerbatimChar"/>
        </w:rPr>
        <w:t xml:space="preserve">Temporal overlap         = YES</w:t>
      </w:r>
      <w:r>
        <w:br/>
      </w:r>
      <w:r>
        <w:rPr>
          <w:rStyle w:val="VerbatimChar"/>
        </w:rPr>
        <w:t xml:space="preserve">Regulatory relevance     = YES</w:t>
      </w:r>
      <w:r>
        <w:br/>
      </w:r>
      <w:r>
        <w:rPr>
          <w:rStyle w:val="VerbatimChar"/>
        </w:rPr>
        <w:t xml:space="preserve">Direct coverage change   = NO evidence</w:t>
      </w:r>
      <w:r>
        <w:br/>
      </w:r>
      <w:r>
        <w:rPr>
          <w:rStyle w:val="VerbatimChar"/>
        </w:rPr>
        <w:t xml:space="preserve">Direct payment change    = NO evidence</w:t>
      </w:r>
      <w:r>
        <w:br/>
      </w:r>
      <w:r>
        <w:rPr>
          <w:rStyle w:val="VerbatimChar"/>
        </w:rPr>
        <w:t xml:space="preserve">Direct utilization cause = NOT established</w:t>
      </w:r>
      <w:r>
        <w:br/>
      </w:r>
      <w:r>
        <w:rPr>
          <w:rStyle w:val="VerbatimChar"/>
        </w:rPr>
        <w:t xml:space="preserve">Causal strength          = LOW / CONTEXTUAL</w:t>
      </w:r>
    </w:p>
    <w:p>
      <w:pPr>
        <w:pStyle w:val="FirstParagraph"/>
      </w:pPr>
      <w:r>
        <w:t xml:space="preserve">และเนื่องจาก v3</w:t>
      </w:r>
      <w:r>
        <w:t xml:space="preserve"> </w:t>
      </w:r>
      <w:r>
        <w:rPr>
          <w:b/>
          <w:bCs/>
        </w:rPr>
        <w:t xml:space="preserve">ไม่ได้พบ anomaly ตั้งแต่แรก</w:t>
      </w:r>
      <w:r>
        <w:t xml:space="preserve"> </w:t>
      </w:r>
      <w:r>
        <w:t xml:space="preserve">v4 ไม่ต้องหาเหตุผลมาหักล้าง anomaly ด้วยซ้ำ.</w:t>
      </w:r>
    </w:p>
    <w:p>
      <w:pPr>
        <w:pStyle w:val="BodyText"/>
      </w:pPr>
      <w:r>
        <w:t xml:space="preserve">คำตัดสินจึงเป็น: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v</m:t>
              </m:r>
              <m:sSub>
                <m:e>
                  <m:r>
                    <m:t>4</m:t>
                  </m:r>
                </m:e>
                <m:sub>
                  <m:r>
                    <m:t>2024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e</m:t>
              </m:r>
              <m:r>
                <m:t>g</m:t>
              </m:r>
              <m:r>
                <m:t>u</m:t>
              </m:r>
              <m:r>
                <m:t>l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  <m:r>
                <m:t>y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</m:e>
          </m:borderBox>
        </m:oMath>
      </m:oMathPara>
    </w:p>
    <w:p>
      <w:pPr>
        <w:pStyle w:val="FirstParagraph"/>
      </w:pPr>
      <w:r>
        <w:t xml:space="preserve">ไม่ใช่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r>
                <m:t>x</m:t>
              </m:r>
              <m:r>
                <m:t>p</m:t>
              </m:r>
              <m:r>
                <m:t>l</m:t>
              </m:r>
              <m:r>
                <m:t>a</m:t>
              </m:r>
              <m:r>
                <m:t>i</m:t>
              </m:r>
              <m:r>
                <m:t>n</m:t>
              </m:r>
              <m:r>
                <m:t>e</m:t>
              </m:r>
              <m:r>
                <m:t>d</m:t>
              </m:r>
              <m:r>
                <m:t> </m:t>
              </m:r>
              <m:r>
                <m:t>B</m:t>
              </m:r>
              <m:r>
                <m:t>l</m:t>
              </m:r>
              <m:r>
                <m:t>a</m:t>
              </m:r>
              <m:r>
                <m:t>c</m:t>
              </m:r>
              <m:r>
                <m:t>k</m:t>
              </m:r>
              <m:r>
                <m:t> </m:t>
              </m:r>
              <m:r>
                <m:t>S</m:t>
              </m:r>
              <m:r>
                <m:t>w</m:t>
              </m:r>
              <m:r>
                <m:t>a</m:t>
              </m:r>
              <m:r>
                <m:t>n</m:t>
              </m:r>
            </m:e>
          </m:borderBox>
        </m:oMath>
      </m:oMathPara>
    </w:p>
    <w:bookmarkEnd w:id="52"/>
    <w:bookmarkStart w:id="53" w:name="ขอจำกดและขนตอไปของระบบ"/>
    <w:p>
      <w:pPr>
        <w:pStyle w:val="Heading2"/>
      </w:pPr>
      <w:r>
        <w:t xml:space="preserve">ข้อจำกัดและขั้นต่อไปของระบบ</w:t>
      </w:r>
    </w:p>
    <w:p>
      <w:pPr>
        <w:pStyle w:val="FirstParagraph"/>
      </w:pPr>
      <w:r>
        <w:t xml:space="preserve">ผลนี้แข็งแรงกว่าการ simulation เดิมมากเพราะมาจาก CMS annual Medicare FFS data จริง แต่ยังไม่ควรเรียกว่า “พิสูจน์ว่าไม่มีความผิดปกติทุกชนิด.” ชุดข้อมูลครอบคลุม</w:t>
      </w:r>
      <w:r>
        <w:t xml:space="preserve"> </w:t>
      </w:r>
      <w:r>
        <w:rPr>
          <w:b/>
          <w:bCs/>
        </w:rPr>
        <w:t xml:space="preserve">Original Medicare fee-for-service</w:t>
      </w:r>
      <w:r>
        <w:t xml:space="preserve"> </w:t>
      </w:r>
      <w:r>
        <w:t xml:space="preserve">ไม่ใช่ Medicare Advantage หรือระบบสุขภาพทั้งหมด และ CMS มี suppression/redaction rules สำหรับ public-use data.</w:t>
      </w:r>
      <w:r>
        <w:t xml:space="preserve"> </w:t>
      </w:r>
      <w:hyperlink r:id="rId10">
        <w:r>
          <w:rPr>
            <w:rStyle w:val="Hyperlink"/>
          </w:rPr>
          <w:t xml:space="preserve">[12]</w:t>
        </w:r>
      </w:hyperlink>
      <w:r>
        <w:t xml:space="preserve"> </w:t>
      </w:r>
      <w:hyperlink r:id="rId1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ข้อจำกัดใหญ่ที่สุดทางสถิติคือ baseline มีเพียงสี่ปี. Z-score จาก sample ขนาดนี้มี uncertainty สูง, linear trend สามารถเปลี่ยนได้มากเมื่อเพิ่มปี และ ARIMA ไม่ควรถูกเชื่อถือเป็น primary model จาก observations เพียงสี่จุด. นอกจากนี้ 2020–2021 อยู่ในช่วง COVID disruption และ CMS เองแจ้งว่าคำอธิบาย HCPCS 90739 เปลี่ยนระหว่างช่วงข้อมูล ซึ่งลดความสะอาดของ baseline.</w:t>
      </w:r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อย่างไรก็ตาม ตอนนี้มีข้อค้นพบที่ค่อนข้างชัด:</w:t>
      </w:r>
      <w:r>
        <w:t xml:space="preserve"> </w:t>
      </w:r>
      <w:r>
        <w:rPr>
          <w:b/>
          <w:bCs/>
        </w:rPr>
        <w:t xml:space="preserve">สิ่งผิดปกติเด่นของ series ไม่ใช่ปี 2024 แต่คือ transition 2021→2022 และ 2022→2023</w:t>
      </w:r>
      <w:r>
        <w:t xml:space="preserve"> </w:t>
      </w:r>
      <w:r>
        <w:t xml:space="preserve">ซึ่งเพิ่ม +91.23% และ +51.83% ตามลำดับ ก่อนจะ flatten เหลือ +0.94% ใน 2024.</w:t>
      </w:r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นั่นทำให้ testcase ถัดไปที่มีข้อมูลมากกว่าคือ</w:t>
      </w:r>
      <w:r>
        <w:t xml:space="preserve"> </w:t>
      </w:r>
      <w:r>
        <w:rPr>
          <w:b/>
          <w:bCs/>
        </w:rPr>
        <w:t xml:space="preserve">ย้อน baseline ไป 2013–2019</w:t>
      </w:r>
      <w:r>
        <w:t xml:space="preserve"> </w:t>
      </w:r>
      <w:r>
        <w:t xml:space="preserve">ซึ่ง CMS connector ยืนยันว่าชุดนี้มี annual years ตั้งแต่ 2013 ถึง 2024.</w:t>
      </w:r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สถาปัตยกรรมที่ควรใช้ต่อจากนี้จึงเป็น:</w:t>
      </w:r>
    </w:p>
    <w:p>
      <w:pPr>
        <w:pStyle w:val="SourceCode"/>
      </w:pPr>
      <w:r>
        <w:rPr>
          <w:rStyle w:val="VerbatimChar"/>
        </w:rPr>
        <w:t xml:space="preserve">CMS REAL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SCHEMA / DATA-QUALITY CHECK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LONG HISTORICAL BASELINE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MULTI-MODEL EXPECTED STATE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v2 CHANGE DETECTOR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v3 RESIDUAL DETECTOR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ANOMALY CONSENSUS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EXTERNAL EVENT RETRIEVAL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CAUSAL-RELEVANCE SCORING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Normal                       │</w:t>
      </w:r>
      <w:r>
        <w:br/>
      </w:r>
      <w:r>
        <w:rPr>
          <w:rStyle w:val="VerbatimChar"/>
        </w:rPr>
        <w:t xml:space="preserve">│ Explained structural break  │</w:t>
      </w:r>
      <w:r>
        <w:br/>
      </w:r>
      <w:r>
        <w:rPr>
          <w:rStyle w:val="VerbatimChar"/>
        </w:rPr>
        <w:t xml:space="preserve">│ Contextual event only        │</w:t>
      </w:r>
      <w:r>
        <w:br/>
      </w:r>
      <w:r>
        <w:rPr>
          <w:rStyle w:val="VerbatimChar"/>
        </w:rPr>
        <w:t xml:space="preserve">│ Unexplained anomaly          │</w:t>
      </w:r>
      <w:r>
        <w:br/>
      </w:r>
      <w:r>
        <w:rPr>
          <w:rStyle w:val="VerbatimChar"/>
        </w:rPr>
        <w:t xml:space="preserve">│ Black-Swan candidate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SELF-CORRECTION / RE-RUN</w:t>
      </w:r>
    </w:p>
    <w:p>
      <w:pPr>
        <w:pStyle w:val="FirstParagraph"/>
      </w:pPr>
      <w:r>
        <w:rPr>
          <w:b/>
          <w:bCs/>
        </w:rPr>
        <w:t xml:space="preserve">สถานะโปรเจกต์หลังงานวิจัยรอบนี้:</w:t>
      </w:r>
      <w:r>
        <w:t xml:space="preserve"> </w:t>
      </w:r>
      <w:r>
        <w:t xml:space="preserve">จากเดิมที่ติดอยู่ตรง “ยังไม่มี Medicare 90739 actual 2020–2024” ตอนนี้ช่องนั้น</w:t>
      </w:r>
      <w:r>
        <w:t xml:space="preserve"> </w:t>
      </w:r>
      <w:r>
        <w:rPr>
          <w:b/>
          <w:bCs/>
        </w:rPr>
        <w:t xml:space="preserve">ปิดแล้ว</w:t>
      </w:r>
      <w:r>
        <w:t xml:space="preserve">. เรามีข้อมูล utilization และ payment จริงครบ, มี official API และ CSV fallback, มี model baseline, รัน v2/v3/v4 ได้แล้ว และพบว่า</w:t>
      </w:r>
      <w:r>
        <w:t xml:space="preserve"> </w:t>
      </w:r>
      <w:r>
        <w:rPr>
          <w:b/>
          <w:bCs/>
        </w:rPr>
        <w:t xml:space="preserve">2024 ไม่ผ่านเกณฑ์ Black Swan</w:t>
      </w:r>
      <w:r>
        <w:t xml:space="preserve">. สิ่งที่ควรทำต่อไม่ใช่พยายามบังคับให้ 2024 เป็น anomaly แต่คือขยาย series ย้อนกลับไป 2013 แล้วให้ agent ตรวจว่า</w:t>
      </w:r>
      <w:r>
        <w:t xml:space="preserve"> </w:t>
      </w:r>
      <w:r>
        <w:rPr>
          <w:b/>
          <w:bCs/>
        </w:rPr>
        <w:t xml:space="preserve">จุดเปลี่ยนที่แท้จริงของ 90739 อยู่ตรงไหน และ external event ใดมี causal relevance สูงที่สุด</w:t>
      </w:r>
      <w:r>
        <w:t xml:space="preserve">.</w:t>
      </w:r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[11]</w:t>
        </w:r>
      </w:hyperlink>
      <w:r>
        <w:t xml:space="preserve"> </w:t>
      </w:r>
      <w:hyperlink r:id="rId10">
        <w:r>
          <w:rPr>
            <w:rStyle w:val="Hyperlink"/>
          </w:rPr>
          <w:t xml:space="preserve">[12]</w:t>
        </w:r>
      </w:hyperlink>
      <w:r>
        <w:t xml:space="preserve"> </w:t>
      </w:r>
      <w:hyperlink r:id="rId10">
        <w:r>
          <w:rPr>
            <w:rStyle w:val="Hyperlink"/>
          </w:rPr>
          <w:t xml:space="preserve">[13]</w:t>
        </w:r>
      </w:hyperlink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  <w:r>
        <w:t xml:space="preserve"> </w:t>
      </w:r>
      <w:hyperlink r:id="rId10">
        <w:r>
          <w:rPr>
            <w:rStyle w:val="Hyperlink"/>
          </w:rPr>
          <w:t xml:space="preserve">[15]</w:t>
        </w:r>
      </w:hyperlink>
      <w:r>
        <w:t xml:space="preserve"> </w:t>
      </w:r>
      <w:hyperlink r:id="rId10">
        <w:r>
          <w:rPr>
            <w:rStyle w:val="Hyperlink"/>
          </w:rPr>
          <w:t xml:space="preserve">[16]</w:t>
        </w:r>
      </w:hyperlink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Medicare Physician &amp; Other Practitioners - by Geography and Service</w:t>
      </w:r>
    </w:p>
    <w:p>
      <w:pPr>
        <w:pStyle w:val="BodyText"/>
      </w:pPr>
      <w:hyperlink r:id="rId10">
        <w:r>
          <w:rPr>
            <w:rStyle w:val="Hyperlink"/>
          </w:rPr>
          <w:t xml:space="preserve">https://data.cms.gov/provider-summary-by-type-of-service/medicare-physician-other-practitioners/medicare-physician-other-practitioners-by-geography-and-service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https://data.cms.gov/resources/medicare-physician-other-practitioners-by-geography-and-service-data-dictionary</w:t>
      </w:r>
    </w:p>
    <w:p>
      <w:pPr>
        <w:pStyle w:val="BodyText"/>
      </w:pPr>
      <w:hyperlink r:id="rId11">
        <w:r>
          <w:rPr>
            <w:rStyle w:val="Hyperlink"/>
          </w:rPr>
          <w:t xml:space="preserve">https://data.cms.gov/resources/medicare-physician-other-practitioners-by-geography-and-service-data-dictionary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data.cms.gov</w:t>
      </w:r>
    </w:p>
    <w:p>
      <w:pPr>
        <w:pStyle w:val="BodyText"/>
      </w:pPr>
      <w:hyperlink r:id="rId12">
        <w:r>
          <w:rPr>
            <w:rStyle w:val="Hyperlink"/>
          </w:rPr>
          <w:t xml:space="preserve">https://data.cms.gov/data-api/v1/dataset/31eb3018-43e0-4259-a0d8-e7a1112ffd08/data?size=10&amp;offset=0&amp;filter%5BRndrng_Prvdr_Geo_Lvl%5D=National&amp;filter%5BRndrng_Prvdr_Geo_Desc%5D=National&amp;filter%5BHCPCS_Cd%5D=90739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data.cms.gov</w:t>
      </w:r>
    </w:p>
    <w:p>
      <w:pPr>
        <w:pStyle w:val="BodyText"/>
      </w:pPr>
      <w:hyperlink r:id="rId13">
        <w:r>
          <w:rPr>
            <w:rStyle w:val="Hyperlink"/>
          </w:rPr>
          <w:t xml:space="preserve">https://data.cms.gov/data-api/v1/dataset/f00f462f-bb61-48b1-a321-1c50d78ce175/data?size=10&amp;offset=0&amp;filter%5BRndrng_Prvdr_Geo_Lvl%5D=National&amp;filter%5BRndrng_Prvdr_Geo_Desc%5D=National&amp;filter%5BHCPCS_Cd%5D=90739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data.cms.gov</w:t>
      </w:r>
    </w:p>
    <w:p>
      <w:pPr>
        <w:pStyle w:val="BodyText"/>
      </w:pPr>
      <w:hyperlink r:id="rId14">
        <w:r>
          <w:rPr>
            <w:rStyle w:val="Hyperlink"/>
          </w:rPr>
          <w:t xml:space="preserve">https://data.cms.gov/data-api/v1/dataset/87304f15-9ed0-41dc-a141-6141a0327453/data?size=10&amp;offset=0&amp;filter%5BRndrng_Prvdr_Geo_Lvl%5D=National&amp;filter%5BRndrng_Prvdr_Geo_Desc%5D=National&amp;filter%5BHCPCS_Cd%5D=90739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data.cms.gov</w:t>
      </w:r>
    </w:p>
    <w:p>
      <w:pPr>
        <w:pStyle w:val="BodyText"/>
      </w:pPr>
      <w:hyperlink r:id="rId15">
        <w:r>
          <w:rPr>
            <w:rStyle w:val="Hyperlink"/>
          </w:rPr>
          <w:t xml:space="preserve">https://data.cms.gov/data-api/v1/dataset/ddee9e22-7889-4bef-975a-7853e4cd0fbb/data?size=10&amp;offset=0&amp;filter%5BRndrng_Prvdr_Geo_Lvl%5D=National&amp;filter%5BRndrng_Prvdr_Geo_Desc%5D=National&amp;filter%5BHCPCS_Cd%5D=90739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data.cms.gov</w:t>
      </w:r>
    </w:p>
    <w:p>
      <w:pPr>
        <w:pStyle w:val="BodyText"/>
      </w:pPr>
      <w:hyperlink r:id="rId16">
        <w:r>
          <w:rPr>
            <w:rStyle w:val="Hyperlink"/>
          </w:rPr>
          <w:t xml:space="preserve">https://data.cms.gov/data-api/v1/dataset/6fea9d79-0129-4e4c-b1b8-23cd86a4f435/data?size=10&amp;offset=0&amp;filter%5BRndrng_Prvdr_Geo_Lvl%5D=National&amp;filter%5BRndrng_Prvdr_Geo_Desc%5D=National&amp;filter%5BHCPCS_Cd%5D=90739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[8]</w:t>
        </w:r>
      </w:hyperlink>
      <w:r>
        <w:t xml:space="preserve"> </w:t>
      </w:r>
      <w:hyperlink r:id="rId1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https://www.ecfr.gov/current/title-42/chapter-IV/subchapter-B/part-411/subpart-J/section-411.355</w:t>
      </w:r>
    </w:p>
    <w:p>
      <w:pPr>
        <w:pStyle w:val="BodyText"/>
      </w:pPr>
      <w:hyperlink r:id="rId17">
        <w:r>
          <w:rPr>
            <w:rStyle w:val="Hyperlink"/>
          </w:rPr>
          <w:t xml:space="preserve">https://www.ecfr.gov/current/title-42/chapter-IV/subchapter-B/part-411/subpart-J/section-411.355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Medicare Physician &amp; Other Practitioners by Geography &amp; ...</w:t>
      </w:r>
    </w:p>
    <w:p>
      <w:pPr>
        <w:pStyle w:val="BodyText"/>
      </w:pPr>
      <w:hyperlink r:id="rId19">
        <w:r>
          <w:rPr>
            <w:rStyle w:val="Hyperlink"/>
          </w:rPr>
          <w:t xml:space="preserve">https://data.cms.gov/provider-summary-by-type-of-service/medicare-physician-other-practitioners/medicare-physician-other-practitioners-by-geography-and-service?utm_source=chatgpt.com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Medicare Physician &amp; Other Practitioners - by Geography ...</w:t>
      </w:r>
    </w:p>
    <w:p>
      <w:pPr>
        <w:pStyle w:val="BodyText"/>
      </w:pPr>
      <w:hyperlink r:id="rId20">
        <w:r>
          <w:rPr>
            <w:rStyle w:val="Hyperlink"/>
          </w:rPr>
          <w:t xml:space="preserve">https://catalog.data.gov/dataset/medicare-physician-other-practitioners-by-geography-and-service?utm_source=chatgpt.com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https://www.cms.gov/medicare/regulations-guidance/physician-self-referral/list-cpt-hcpcs-codes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https://www.cms.gov/medicare/regulations-guidance/physician-self-referral/list-cpt-hcpcs-codes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Universal Hepatitis B Vaccination in Adults Aged 19–59 ...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https://www.cdc.gov/mmwr/volumes/71/wr/mm7113a1.htm?utm_source=chatgpt.com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https://www.federalregister.gov/documents/2004/03/26/04-6668/medicare-program-physicians-referrals-to-health-care-entities-with-which-they-have-financial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https://www.federalregister.gov/documents/2004/03/26/04-6668/medicare-program-physicians-referrals-to-health-care-entities-with-which-they-have-financial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https://www.cms.gov/Regulations-and-Guidance/Guidance/Transmittals/2017Downloads/R3711CP.pdf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https://www.cms.gov/Regulations-and-Guidance/Guidance/Transmittals/2017Downloads/R3711CP.pdf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https://www.cms.gov/medicare-coverage-database/view/article.aspx?articleId=54767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https://www.cms.gov/medicare-coverage-database/view/article.aspx?articleId=54767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21" Target="https://catalog.data.gov/dataset/medicare-physician-other-practitioners-by-geography-and-service" TargetMode="External" /><Relationship Type="http://schemas.openxmlformats.org/officeDocument/2006/relationships/hyperlink" Id="rId20" Target="https://catalog.data.gov/dataset/medicare-physician-other-practitioners-by-geography-and-service?utm_source=chatgpt.com" TargetMode="External" /><Relationship Type="http://schemas.openxmlformats.org/officeDocument/2006/relationships/hyperlink" Id="rId22" Target="https://data.cms.gov/data-api/v1/dataset/31eb3018-43e0-4259-a0d8-e7a1112ffd08/data?size=10&amp;offset=0&amp;filter%5BRndrng_Prvdr_Geo_Lvl%5D=National&amp;filter%5BHCPCS_Cd%5D=90739" TargetMode="External" /><Relationship Type="http://schemas.openxmlformats.org/officeDocument/2006/relationships/hyperlink" Id="rId12" Target="https://data.cms.gov/data-api/v1/dataset/31eb3018-43e0-4259-a0d8-e7a1112ffd08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6" Target="https://data.cms.gov/data-api/v1/dataset/6fea9d79-0129-4e4c-b1b8-23cd86a4f435/data?size=10&amp;offset=0&amp;filter%5BRndrng_Prvdr_Geo_Lvl%5D=National&amp;filter%5BHCPCS_Cd%5D=90739" TargetMode="External" /><Relationship Type="http://schemas.openxmlformats.org/officeDocument/2006/relationships/hyperlink" Id="rId16" Target="https://data.cms.gov/data-api/v1/dataset/6fea9d79-0129-4e4c-b1b8-23cd86a4f435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4" Target="https://data.cms.gov/data-api/v1/dataset/87304f15-9ed0-41dc-a141-6141a0327453/data?size=10&amp;offset=0&amp;filter%5BRndrng_Prvdr_Geo_Lvl%5D=National&amp;filter%5BHCPCS_Cd%5D=90739" TargetMode="External" /><Relationship Type="http://schemas.openxmlformats.org/officeDocument/2006/relationships/hyperlink" Id="rId14" Target="https://data.cms.gov/data-api/v1/dataset/87304f15-9ed0-41dc-a141-6141a0327453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5" Target="https://data.cms.gov/data-api/v1/dataset/ddee9e22-7889-4bef-975a-7853e4cd0fbb/data?size=10&amp;offset=0&amp;filter%5BRndrng_Prvdr_Geo_Lvl%5D=National&amp;filter%5BHCPCS_Cd%5D=90739" TargetMode="External" /><Relationship Type="http://schemas.openxmlformats.org/officeDocument/2006/relationships/hyperlink" Id="rId15" Target="https://data.cms.gov/data-api/v1/dataset/ddee9e22-7889-4bef-975a-7853e4cd0fbb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3" Target="https://data.cms.gov/data-api/v1/dataset/f00f462f-bb61-48b1-a321-1c50d78ce175/data?size=10&amp;offset=0&amp;filter%5BRndrng_Prvdr_Geo_Lvl%5D=National&amp;filter%5BHCPCS_Cd%5D=90739" TargetMode="External" /><Relationship Type="http://schemas.openxmlformats.org/officeDocument/2006/relationships/hyperlink" Id="rId13" Target="https://data.cms.gov/data-api/v1/dataset/f00f462f-bb61-48b1-a321-1c50d78ce175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10" Target="https://data.cms.gov/provider-summary-by-type-of-service/medicare-physician-other-practitioners/medicare-physician-other-practitioners-by-geography-and-service" TargetMode="External" /><Relationship Type="http://schemas.openxmlformats.org/officeDocument/2006/relationships/hyperlink" Id="rId19" Target="https://data.cms.gov/provider-summary-by-type-of-service/medicare-physician-other-practitioners/medicare-physician-other-practitioners-by-geography-and-service?utm_source=chatgpt.com" TargetMode="External" /><Relationship Type="http://schemas.openxmlformats.org/officeDocument/2006/relationships/hyperlink" Id="rId11" Target="https://data.cms.gov/resources/medicare-physician-other-practitioners-by-geography-and-service-data-dictionary" TargetMode="External" /><Relationship Type="http://schemas.openxmlformats.org/officeDocument/2006/relationships/hyperlink" Id="rId28" Target="https://data.cms.gov/sites/default/files/2022-07/0d730fe9-deb8-453b-a2fd-ce778286d9f6/MUP_PHY_R22_P05_V10_D20_Geo.csv" TargetMode="External" /><Relationship Type="http://schemas.openxmlformats.org/officeDocument/2006/relationships/hyperlink" Id="rId29" Target="https://data.cms.gov/sites/default/files/2023-05/0a47308e-812e-42cb-8ecf-0c1f457ab849/MUP_PHY_R23_P05_V10_D21_Geo.csv" TargetMode="External" /><Relationship Type="http://schemas.openxmlformats.org/officeDocument/2006/relationships/hyperlink" Id="rId30" Target="https://data.cms.gov/sites/default/files/2024-05/3167b4d9-10c0-48f0-a680-1165f4eec064/MUP_PHY_R24_P05_V10_D22_Geo.csv" TargetMode="External" /><Relationship Type="http://schemas.openxmlformats.org/officeDocument/2006/relationships/hyperlink" Id="rId31" Target="https://data.cms.gov/sites/default/files/2025-04/3b718a11-a28d-4c38-a13b-2c6eeb649980/MUP_PHY_R25_P05_V20_D23_Geo.csv" TargetMode="External" /><Relationship Type="http://schemas.openxmlformats.org/officeDocument/2006/relationships/hyperlink" Id="rId32" Target="https://data.cms.gov/sites/default/files/2026-05/e534c74b-79b8-4892-8a95-5a17e2dfec9f/MUP_PHY_R26_P05_V10_D24_Geo.csv" TargetMode="External" /><Relationship Type="http://schemas.openxmlformats.org/officeDocument/2006/relationships/hyperlink" Id="rId48" Target="https://www.cdc.gov/mmwr/volumes/71/wr/mm7113a1.htm?utm_source=chatgpt.com" TargetMode="External" /><Relationship Type="http://schemas.openxmlformats.org/officeDocument/2006/relationships/hyperlink" Id="rId50" Target="https://www.cms.gov/Regulations-and-Guidance/Guidance/Transmittals/2017Downloads/R3711CP.pdf" TargetMode="External" /><Relationship Type="http://schemas.openxmlformats.org/officeDocument/2006/relationships/hyperlink" Id="rId51" Target="https://www.cms.gov/medicare-coverage-database/view/article.aspx?articleId=54767" TargetMode="External" /><Relationship Type="http://schemas.openxmlformats.org/officeDocument/2006/relationships/hyperlink" Id="rId44" Target="https://www.cms.gov/medicare/regulations-guidance/physician-self-referral/list-cpt-hcpcs-codes" TargetMode="External" /><Relationship Type="http://schemas.openxmlformats.org/officeDocument/2006/relationships/hyperlink" Id="rId17" Target="https://www.ecfr.gov/current/title-42/chapter-IV/subchapter-B/part-411/subpart-J/section-411.355" TargetMode="External" /><Relationship Type="http://schemas.openxmlformats.org/officeDocument/2006/relationships/hyperlink" Id="rId49" Target="https://www.federalregister.gov/documents/2004/03/26/04-6668/medicare-program-physicians-referrals-to-health-care-entities-with-which-they-have-finan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atalog.data.gov/dataset/medicare-physician-other-practitioners-by-geography-and-service" TargetMode="External" /><Relationship Type="http://schemas.openxmlformats.org/officeDocument/2006/relationships/hyperlink" Id="rId20" Target="https://catalog.data.gov/dataset/medicare-physician-other-practitioners-by-geography-and-service?utm_source=chatgpt.com" TargetMode="External" /><Relationship Type="http://schemas.openxmlformats.org/officeDocument/2006/relationships/hyperlink" Id="rId22" Target="https://data.cms.gov/data-api/v1/dataset/31eb3018-43e0-4259-a0d8-e7a1112ffd08/data?size=10&amp;offset=0&amp;filter%5BRndrng_Prvdr_Geo_Lvl%5D=National&amp;filter%5BHCPCS_Cd%5D=90739" TargetMode="External" /><Relationship Type="http://schemas.openxmlformats.org/officeDocument/2006/relationships/hyperlink" Id="rId12" Target="https://data.cms.gov/data-api/v1/dataset/31eb3018-43e0-4259-a0d8-e7a1112ffd08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6" Target="https://data.cms.gov/data-api/v1/dataset/6fea9d79-0129-4e4c-b1b8-23cd86a4f435/data?size=10&amp;offset=0&amp;filter%5BRndrng_Prvdr_Geo_Lvl%5D=National&amp;filter%5BHCPCS_Cd%5D=90739" TargetMode="External" /><Relationship Type="http://schemas.openxmlformats.org/officeDocument/2006/relationships/hyperlink" Id="rId16" Target="https://data.cms.gov/data-api/v1/dataset/6fea9d79-0129-4e4c-b1b8-23cd86a4f435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4" Target="https://data.cms.gov/data-api/v1/dataset/87304f15-9ed0-41dc-a141-6141a0327453/data?size=10&amp;offset=0&amp;filter%5BRndrng_Prvdr_Geo_Lvl%5D=National&amp;filter%5BHCPCS_Cd%5D=90739" TargetMode="External" /><Relationship Type="http://schemas.openxmlformats.org/officeDocument/2006/relationships/hyperlink" Id="rId14" Target="https://data.cms.gov/data-api/v1/dataset/87304f15-9ed0-41dc-a141-6141a0327453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5" Target="https://data.cms.gov/data-api/v1/dataset/ddee9e22-7889-4bef-975a-7853e4cd0fbb/data?size=10&amp;offset=0&amp;filter%5BRndrng_Prvdr_Geo_Lvl%5D=National&amp;filter%5BHCPCS_Cd%5D=90739" TargetMode="External" /><Relationship Type="http://schemas.openxmlformats.org/officeDocument/2006/relationships/hyperlink" Id="rId15" Target="https://data.cms.gov/data-api/v1/dataset/ddee9e22-7889-4bef-975a-7853e4cd0fbb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23" Target="https://data.cms.gov/data-api/v1/dataset/f00f462f-bb61-48b1-a321-1c50d78ce175/data?size=10&amp;offset=0&amp;filter%5BRndrng_Prvdr_Geo_Lvl%5D=National&amp;filter%5BHCPCS_Cd%5D=90739" TargetMode="External" /><Relationship Type="http://schemas.openxmlformats.org/officeDocument/2006/relationships/hyperlink" Id="rId13" Target="https://data.cms.gov/data-api/v1/dataset/f00f462f-bb61-48b1-a321-1c50d78ce175/data?size=10&amp;offset=0&amp;filter%5BRndrng_Prvdr_Geo_Lvl%5D=National&amp;filter%5BRndrng_Prvdr_Geo_Desc%5D=National&amp;filter%5BHCPCS_Cd%5D=90739" TargetMode="External" /><Relationship Type="http://schemas.openxmlformats.org/officeDocument/2006/relationships/hyperlink" Id="rId10" Target="https://data.cms.gov/provider-summary-by-type-of-service/medicare-physician-other-practitioners/medicare-physician-other-practitioners-by-geography-and-service" TargetMode="External" /><Relationship Type="http://schemas.openxmlformats.org/officeDocument/2006/relationships/hyperlink" Id="rId19" Target="https://data.cms.gov/provider-summary-by-type-of-service/medicare-physician-other-practitioners/medicare-physician-other-practitioners-by-geography-and-service?utm_source=chatgpt.com" TargetMode="External" /><Relationship Type="http://schemas.openxmlformats.org/officeDocument/2006/relationships/hyperlink" Id="rId11" Target="https://data.cms.gov/resources/medicare-physician-other-practitioners-by-geography-and-service-data-dictionary" TargetMode="External" /><Relationship Type="http://schemas.openxmlformats.org/officeDocument/2006/relationships/hyperlink" Id="rId28" Target="https://data.cms.gov/sites/default/files/2022-07/0d730fe9-deb8-453b-a2fd-ce778286d9f6/MUP_PHY_R22_P05_V10_D20_Geo.csv" TargetMode="External" /><Relationship Type="http://schemas.openxmlformats.org/officeDocument/2006/relationships/hyperlink" Id="rId29" Target="https://data.cms.gov/sites/default/files/2023-05/0a47308e-812e-42cb-8ecf-0c1f457ab849/MUP_PHY_R23_P05_V10_D21_Geo.csv" TargetMode="External" /><Relationship Type="http://schemas.openxmlformats.org/officeDocument/2006/relationships/hyperlink" Id="rId30" Target="https://data.cms.gov/sites/default/files/2024-05/3167b4d9-10c0-48f0-a680-1165f4eec064/MUP_PHY_R24_P05_V10_D22_Geo.csv" TargetMode="External" /><Relationship Type="http://schemas.openxmlformats.org/officeDocument/2006/relationships/hyperlink" Id="rId31" Target="https://data.cms.gov/sites/default/files/2025-04/3b718a11-a28d-4c38-a13b-2c6eeb649980/MUP_PHY_R25_P05_V20_D23_Geo.csv" TargetMode="External" /><Relationship Type="http://schemas.openxmlformats.org/officeDocument/2006/relationships/hyperlink" Id="rId32" Target="https://data.cms.gov/sites/default/files/2026-05/e534c74b-79b8-4892-8a95-5a17e2dfec9f/MUP_PHY_R26_P05_V10_D24_Geo.csv" TargetMode="External" /><Relationship Type="http://schemas.openxmlformats.org/officeDocument/2006/relationships/hyperlink" Id="rId48" Target="https://www.cdc.gov/mmwr/volumes/71/wr/mm7113a1.htm?utm_source=chatgpt.com" TargetMode="External" /><Relationship Type="http://schemas.openxmlformats.org/officeDocument/2006/relationships/hyperlink" Id="rId50" Target="https://www.cms.gov/Regulations-and-Guidance/Guidance/Transmittals/2017Downloads/R3711CP.pdf" TargetMode="External" /><Relationship Type="http://schemas.openxmlformats.org/officeDocument/2006/relationships/hyperlink" Id="rId51" Target="https://www.cms.gov/medicare-coverage-database/view/article.aspx?articleId=54767" TargetMode="External" /><Relationship Type="http://schemas.openxmlformats.org/officeDocument/2006/relationships/hyperlink" Id="rId44" Target="https://www.cms.gov/medicare/regulations-guidance/physician-self-referral/list-cpt-hcpcs-codes" TargetMode="External" /><Relationship Type="http://schemas.openxmlformats.org/officeDocument/2006/relationships/hyperlink" Id="rId17" Target="https://www.ecfr.gov/current/title-42/chapter-IV/subchapter-B/part-411/subpart-J/section-411.355" TargetMode="External" /><Relationship Type="http://schemas.openxmlformats.org/officeDocument/2006/relationships/hyperlink" Id="rId49" Target="https://www.federalregister.gov/documents/2004/03/26/04-6668/medicare-program-physicians-referrals-to-health-care-entities-with-which-they-have-finan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