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179" w:rsidRDefault="00E33F48">
      <w:pPr>
        <w:widowControl w:val="0"/>
        <w:spacing w:line="36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GÊNERO, RAÇA E SEXUALIDADE NA EDUCAÇÃO: INTERSECCIONALIDADES, TERRITÓRIOS DE (RE)EXISTÊNCIA E PEDAGOGIAS DESOBEDIENTES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Oriki Genético como Pedagogia Desobediente: Raça, Gênero e Ancestralidade Quilombola em Perspectiva Interseccional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281F4E">
      <w:pPr>
        <w:widowControl w:val="0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Gildasio Miranda do Carmo, UFRRJ, </w:t>
      </w:r>
      <w:hyperlink r:id="rId6" w:history="1">
        <w:r w:rsidRPr="007A2547">
          <w:rPr>
            <w:rStyle w:val="Hyperlink"/>
            <w:sz w:val="24"/>
            <w:szCs w:val="24"/>
          </w:rPr>
          <w:t>d3lc4rm0@gmail.com</w:t>
        </w:r>
      </w:hyperlink>
      <w:r>
        <w:rPr>
          <w:sz w:val="24"/>
          <w:szCs w:val="24"/>
        </w:rPr>
        <w:t xml:space="preserve"> </w:t>
      </w:r>
      <w:bookmarkStart w:id="0" w:name="_GoBack"/>
      <w:bookmarkEnd w:id="0"/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 articulação entre raça, gênero e sexualidade no campo educacional constitui um dos eixos mais tensionados dos estudos decoloniais contemporâneos. O conceito de interseccionalidade, formulado originalmente por Kimberlé Crenshaw (1989), permite compreender de que maneira diferentes sistemas de opressão — racismo, sexismo, heteronormatividade — articulam-se para produzir experiências singulares de vulnerabilização e, concomitantemente, de resistência criativa. No contexto brasileiro, Carla Akotirene (2019) demonstrou que as identidades afro-brasileiras são constituídas pelo cruzamento de múltiplos sistemas de pertencimento — raça, gênero, classe, território — e que qualquer ferramenta de afirmação identitária deve ser capaz de operacionalizar essa complexidade. É nessa encruzilhada teórica que se insere o presente trabalho.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 presente texto desenvolve o conceito de Oriki Genético como dispositivo epistemológico-pedagógico capaz de fortalecer identidades de juventudes quilombolas a partir de uma perspectiva decolonial e interseccional. Trata-se de uma matriz interpretativa que articula duas tradições de produção de conhecimento: a poesia oral de louvor iorubá (oríkì) e a genética de ancestralidade molecular. O Oriki Genético não se propõe a reduzir identidades a percentuais biológicos, tampouco a dissolvê-las em pura construção discursiva; antes, propõe uma terceira via: os dados moleculares como arquivo aberto de conexões ancestrais que existiram historicamente e que podem ser reativadas culturalmente como convite ao pertencimento, não como determinação biológica ou racial.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compreender adequadamente a proposta do Oriki Genético, é indispensável situar a tradição do oríkì na cosmologia e na prática cultural iorubá. O oríkì constitui uma </w:t>
      </w:r>
      <w:r>
        <w:rPr>
          <w:sz w:val="24"/>
          <w:szCs w:val="24"/>
        </w:rPr>
        <w:lastRenderedPageBreak/>
        <w:t>forma poética que estabelece vínculos entre indivíduos, linhagens familiares, divindades e territórios ancestrais. Karin Barber (1991, p. 1-2) define o oríkì como textos que "acumulam e preservam o passado enquanto o transformam em presente". Pierre Verger (1999, p. 3) define-o como "uma forma de saudação, em que são enunciados os nomes gloriosos, as divisas, as louvações especiais ao Orisa, que exaltam seu poder e recordam fatos e proezas do ancestral divinizado". Diferentemente das genealogias lineares europeias, o oríkì opera pela acumulação de atributos, histórias e locais de origem que definem o pertencimento comunitário.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 dimensão de gênero e sexualidade atravessa o Oriki Genético de maneira estrutural. Lélia Gonzalez (1984, p. 228) demonstrou que a ideologia da democracia racial "exerce sua violência simbólica de maneira especial sobre a mulher negra", cujo corpo foi historicamente apropriado como objeto sexual, produzindo miscigenação por meio do estupro sistêmico. Frantz Fanon (2008) aprofunda essa denúncia ao mostrar que o corpo negro é reduzido ao biológico pela projeção colonial, recusado como sujeito intelectual ou político. Ao reinscrever os percentuais genômicos em narrativas históricas de violência, resistência e reparação, o Oriki Genético recusa essa biologização e devolve ao corpo racializado sua dimensão cosmológica e política. Como propõe Gonzalez (1988) com o conceito de amefricanidade, as matrizes africanas e indígenas fundam a cultura latino-americana — e o Oriki Genético é, precisamente, uma tecnologia de reativação dessas matrizes.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Conforme se argumenta neste trabalho, o Oriki Genético articula três dimensões fundamentais. A epistemológica desloca o genoma da posição de objeto científico neutro para a de texto cultural interpretável, em operação análoga ao que Santos (2019) chama de ecologia de saberes aplicada ao campo biomolecular. A pedagógica opera como instrumento de educação étnico-racial em diálogo com a Lei 10.639/2003 e as Diretrizes Curriculares Nacionais para a Educação das Relações Étnico-Raciais. A dimensão política propõe que as comunidades produzam seus próprios oríkìs genéticos — compostos coletivamente a partir dos dados de ancestralidade —, devolvendo-lhes a autoridade interpretativa sobre seus próprios corpos e histórias, e rompendo com o extrativismo epistêmico da ciência colonial.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No contexto das juventudes quilombolas, o Oriki Genético emerge como ferramenta capaz de operar na intersecção de raça, gênero, território e sexualidade. Stuart Hall (2006, p. 96) assinala que "a etnia tem-se tornado uma das muitas categorias, símbolos ou totens, em torno dos quais comunidades flexíveis e livres de sanção são formadas e em relação às quais identidades individuais são construídas e afirmadas". O Decreto nº 4.887/2003 define os quilombolas como grupos étnico-raciais segundo critérios de autodefinição e trajetória histórica própria (BRASIL, 2003). Transposto para esse contexto, o Oriki Genético transforma percentuais estatísticos em performance viva de memória coletiva.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Do ponto de vista da pedagogia decolonial, o Oriki Genético articula-se com a ecologia de saberes de Santos (2019, p. 228): copresença de conhecimentos diversos que se reconhecem mutuamente sem se hierarquizar. Molefi Kete Asante (2016, p. 9) propõe que o projeto decolonial exige a recentração das experiências africanas como sujeito, não como objeto. O Oriki Genético é, precisamente, essa prática afrocêntrica: transforma a comunidade de objeto de análise genômica em sujeito de sua própria narrativa ancestral, tendo nos mestres e mestras dos terreiros e nos griôs quilombolas seus mediadores pedagógicos fundamentais.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 conceito de Oriki Genético propõe uma articulação entre saberes científicos e epistemologias africanas ancestrais para o fortalecimento identitário de juventudes quilombolas em perspectiva interseccional. A tradição do oríkì oferece um modelo epistemológico para narrativas que integram passado, presente e futuro de forma culturalmente situada. Ao inscrevê-las no cruzamento entre raça, gênero, território e sexualidade, propõe uma pedagogia desobediente que recusa a hierarquia dos saberes. Importa ressaltar que a identidade quilombola é uma construção histórica e política — nunca uma informação genética (BRASIL, 2003; ALMEIDA, 2012) —, e que o DNA ancestral deve ser mobilizado como ferramenta de ampliação da memória comunitária, nunca como critério de validação identitária.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953179" w:rsidRDefault="00E33F48">
      <w:pPr>
        <w:widowControl w:val="0"/>
        <w:spacing w:line="240" w:lineRule="auto"/>
        <w:jc w:val="both"/>
        <w:rPr>
          <w:sz w:val="24"/>
          <w:szCs w:val="24"/>
        </w:rPr>
      </w:pPr>
      <w:r>
        <w:t>Oriki Genético; interseccionalidade; educação quilombola; ancestralidade africana; pedagogias decoloniais.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B308E9" w:rsidRDefault="00B308E9">
      <w:pPr>
        <w:widowControl w:val="0"/>
        <w:spacing w:line="360" w:lineRule="auto"/>
        <w:rPr>
          <w:sz w:val="24"/>
          <w:szCs w:val="24"/>
        </w:rPr>
      </w:pPr>
    </w:p>
    <w:p w:rsidR="00953179" w:rsidRDefault="00E33F48">
      <w:pPr>
        <w:widowControl w:val="0"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REFERÊNCIAS</w:t>
      </w:r>
    </w:p>
    <w:p w:rsidR="00953179" w:rsidRDefault="00953179">
      <w:pPr>
        <w:widowControl w:val="0"/>
        <w:spacing w:line="360" w:lineRule="auto"/>
        <w:rPr>
          <w:sz w:val="24"/>
          <w:szCs w:val="24"/>
        </w:rPr>
      </w:pPr>
    </w:p>
    <w:p w:rsidR="00953179" w:rsidRDefault="00B308E9">
      <w:pPr>
        <w:widowControl w:val="0"/>
        <w:spacing w:line="360" w:lineRule="auto"/>
        <w:ind w:left="709" w:hanging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33F48">
        <w:rPr>
          <w:sz w:val="24"/>
          <w:szCs w:val="24"/>
        </w:rPr>
        <w:t>AKOTIRENE, Carla. Interseccionalidade. São Paulo: Sueli Carneiro; Pólen, 2019.</w:t>
      </w:r>
    </w:p>
    <w:p w:rsidR="00B308E9" w:rsidRDefault="00B308E9">
      <w:pPr>
        <w:widowControl w:val="0"/>
        <w:spacing w:line="360" w:lineRule="auto"/>
        <w:ind w:left="709" w:hanging="709"/>
        <w:jc w:val="both"/>
        <w:rPr>
          <w:sz w:val="24"/>
          <w:szCs w:val="24"/>
        </w:rPr>
      </w:pPr>
    </w:p>
    <w:p w:rsidR="00953179" w:rsidRDefault="00E33F48" w:rsidP="00B308E9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ALMEIDA, Alfredo Wagner Berno de. Territórios e territorialidades específicas na Amazônia: entre a "proteção" e o "protecionismo". Caderno CRH, Salvador, v. 25, n. 64, p. 63-71, jan./abr. 2012.</w:t>
      </w:r>
    </w:p>
    <w:p w:rsidR="00953179" w:rsidRDefault="00953179" w:rsidP="00B308E9">
      <w:pPr>
        <w:widowControl w:val="0"/>
        <w:spacing w:line="360" w:lineRule="auto"/>
        <w:ind w:left="1418"/>
        <w:rPr>
          <w:sz w:val="24"/>
          <w:szCs w:val="24"/>
        </w:rPr>
      </w:pPr>
    </w:p>
    <w:p w:rsidR="00953179" w:rsidRPr="00B308E9" w:rsidRDefault="00E33F48" w:rsidP="00B308E9">
      <w:pPr>
        <w:widowControl w:val="0"/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ASANTE, Molefi Kete. Afrocentricidade como crítica do paradigma hegemônico ocidental: introdução a uma ideia. </w:t>
      </w:r>
      <w:r w:rsidRPr="00B308E9">
        <w:rPr>
          <w:sz w:val="24"/>
          <w:szCs w:val="24"/>
          <w:lang w:val="en-US"/>
        </w:rPr>
        <w:t>Ensaios Filosóficos, v. XIV, p. 9-16, dez. 2016.</w:t>
      </w:r>
    </w:p>
    <w:p w:rsidR="00953179" w:rsidRPr="00B308E9" w:rsidRDefault="00953179" w:rsidP="00B308E9">
      <w:pPr>
        <w:widowControl w:val="0"/>
        <w:spacing w:line="360" w:lineRule="auto"/>
        <w:ind w:left="1418"/>
        <w:rPr>
          <w:sz w:val="24"/>
          <w:szCs w:val="24"/>
          <w:lang w:val="en-US"/>
        </w:rPr>
      </w:pPr>
    </w:p>
    <w:p w:rsidR="00953179" w:rsidRDefault="00E33F48" w:rsidP="00B308E9">
      <w:pPr>
        <w:widowControl w:val="0"/>
        <w:spacing w:line="360" w:lineRule="auto"/>
        <w:jc w:val="both"/>
        <w:rPr>
          <w:sz w:val="24"/>
          <w:szCs w:val="24"/>
        </w:rPr>
      </w:pPr>
      <w:r w:rsidRPr="00B308E9">
        <w:rPr>
          <w:sz w:val="24"/>
          <w:szCs w:val="24"/>
          <w:lang w:val="en-US"/>
        </w:rPr>
        <w:t xml:space="preserve">BARBER, Karin. I Could Speak Until Tomorrow: Oríkì, Women and the Past in a Yoruba Town. </w:t>
      </w:r>
      <w:r>
        <w:rPr>
          <w:sz w:val="24"/>
          <w:szCs w:val="24"/>
        </w:rPr>
        <w:t>Edinburgh: Edinburgh University Press, 1991.</w:t>
      </w:r>
    </w:p>
    <w:p w:rsidR="00953179" w:rsidRDefault="00953179" w:rsidP="00B308E9">
      <w:pPr>
        <w:widowControl w:val="0"/>
        <w:spacing w:line="360" w:lineRule="auto"/>
        <w:ind w:left="1418"/>
        <w:rPr>
          <w:sz w:val="24"/>
          <w:szCs w:val="24"/>
        </w:rPr>
      </w:pPr>
    </w:p>
    <w:p w:rsidR="00953179" w:rsidRPr="00B308E9" w:rsidRDefault="00E33F48" w:rsidP="00B308E9">
      <w:pPr>
        <w:widowControl w:val="0"/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BRASIL. Decreto nº 4.887, de 20 de novembro de 2003. Regulamenta o procedimento para identificação, reconhecimento, delimitação, demarcação e titulação das terras ocupadas por remanescentes das comunidades dos quilombos. </w:t>
      </w:r>
      <w:r w:rsidRPr="00B308E9">
        <w:rPr>
          <w:sz w:val="24"/>
          <w:szCs w:val="24"/>
          <w:lang w:val="en-US"/>
        </w:rPr>
        <w:t>Diário Oficial da União, Brasília, 21 nov. 2003.</w:t>
      </w:r>
    </w:p>
    <w:p w:rsidR="00953179" w:rsidRPr="00B308E9" w:rsidRDefault="00953179" w:rsidP="00B308E9">
      <w:pPr>
        <w:widowControl w:val="0"/>
        <w:spacing w:line="360" w:lineRule="auto"/>
        <w:ind w:left="1418"/>
        <w:rPr>
          <w:sz w:val="24"/>
          <w:szCs w:val="24"/>
          <w:lang w:val="en-US"/>
        </w:rPr>
      </w:pPr>
    </w:p>
    <w:p w:rsidR="00953179" w:rsidRPr="00B308E9" w:rsidRDefault="00E33F48" w:rsidP="00B308E9">
      <w:pPr>
        <w:widowControl w:val="0"/>
        <w:spacing w:line="360" w:lineRule="auto"/>
        <w:jc w:val="both"/>
        <w:rPr>
          <w:sz w:val="24"/>
          <w:szCs w:val="24"/>
          <w:lang w:val="en-US"/>
        </w:rPr>
      </w:pPr>
      <w:r w:rsidRPr="00B308E9">
        <w:rPr>
          <w:sz w:val="24"/>
          <w:szCs w:val="24"/>
          <w:lang w:val="en-US"/>
        </w:rPr>
        <w:t>CRENSHAW, Kimberlé. Demarginalizing the Intersection of Race and Sex. University of Chicago Legal Forum, v. 1989, n. 1, p. 139-167, 1989.</w:t>
      </w:r>
    </w:p>
    <w:p w:rsidR="00953179" w:rsidRPr="00B308E9" w:rsidRDefault="00953179" w:rsidP="00B308E9">
      <w:pPr>
        <w:widowControl w:val="0"/>
        <w:spacing w:line="360" w:lineRule="auto"/>
        <w:ind w:left="1418"/>
        <w:rPr>
          <w:sz w:val="24"/>
          <w:szCs w:val="24"/>
          <w:lang w:val="en-US"/>
        </w:rPr>
      </w:pPr>
    </w:p>
    <w:p w:rsidR="00953179" w:rsidRDefault="00E33F48" w:rsidP="00B308E9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FANON, Frantz. Pele negra, máscaras brancas. Salvador: EDUFBA, 2008.</w:t>
      </w:r>
    </w:p>
    <w:p w:rsidR="00953179" w:rsidRDefault="00953179" w:rsidP="00B308E9">
      <w:pPr>
        <w:widowControl w:val="0"/>
        <w:spacing w:line="360" w:lineRule="auto"/>
        <w:ind w:left="1418"/>
        <w:rPr>
          <w:sz w:val="24"/>
          <w:szCs w:val="24"/>
        </w:rPr>
      </w:pPr>
    </w:p>
    <w:p w:rsidR="00953179" w:rsidRDefault="00E33F48" w:rsidP="00B308E9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GONZALEZ, Lélia. Racismo e sexismo na cultura brasileira. Revista Ciências Sociais Hoje, São Paulo: Anpocs, p. 223-244, 1984.</w:t>
      </w:r>
    </w:p>
    <w:p w:rsidR="00953179" w:rsidRDefault="00953179" w:rsidP="00B308E9">
      <w:pPr>
        <w:widowControl w:val="0"/>
        <w:spacing w:line="360" w:lineRule="auto"/>
        <w:ind w:left="1418"/>
        <w:rPr>
          <w:sz w:val="24"/>
          <w:szCs w:val="24"/>
        </w:rPr>
      </w:pPr>
    </w:p>
    <w:p w:rsidR="00953179" w:rsidRDefault="00E33F48" w:rsidP="00B308E9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GONZALEZ, Lélia. A categoria político-cultural de amefricanidade. Tempo Brasileiro, Rio de Janeiro, n. 92/93, p. 69-82, jan./jun. 1988.</w:t>
      </w:r>
    </w:p>
    <w:p w:rsidR="00953179" w:rsidRDefault="00953179" w:rsidP="00B308E9">
      <w:pPr>
        <w:widowControl w:val="0"/>
        <w:spacing w:line="360" w:lineRule="auto"/>
        <w:ind w:left="1418"/>
        <w:rPr>
          <w:sz w:val="24"/>
          <w:szCs w:val="24"/>
        </w:rPr>
      </w:pPr>
    </w:p>
    <w:p w:rsidR="00953179" w:rsidRDefault="00E33F48" w:rsidP="00B308E9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HALL, Stuart. A identidade cultural na pós-modernidade. 11. ed. Rio de Janeiro: DP&amp;A, 2006.</w:t>
      </w:r>
    </w:p>
    <w:p w:rsidR="00953179" w:rsidRDefault="00953179" w:rsidP="00B308E9">
      <w:pPr>
        <w:widowControl w:val="0"/>
        <w:spacing w:line="360" w:lineRule="auto"/>
        <w:ind w:left="1418"/>
        <w:rPr>
          <w:sz w:val="24"/>
          <w:szCs w:val="24"/>
        </w:rPr>
      </w:pPr>
    </w:p>
    <w:p w:rsidR="00953179" w:rsidRDefault="00E33F48" w:rsidP="00B308E9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SANTOS, Boaventura de Sousa. O fim do império cognitivo: a afirmação das epistemologias do Sul. Belo Horizonte: Autêntica, 2019.</w:t>
      </w:r>
    </w:p>
    <w:p w:rsidR="00953179" w:rsidRDefault="00953179" w:rsidP="00B308E9">
      <w:pPr>
        <w:widowControl w:val="0"/>
        <w:spacing w:line="360" w:lineRule="auto"/>
        <w:ind w:left="1418"/>
        <w:rPr>
          <w:sz w:val="24"/>
          <w:szCs w:val="24"/>
        </w:rPr>
      </w:pPr>
    </w:p>
    <w:p w:rsidR="00953179" w:rsidRDefault="00E33F48" w:rsidP="00B308E9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VERGER, Pierre Fatumbi. Notas sobre o culto aos Orixás e Voduns. São Paulo: Edusp, 1999.</w:t>
      </w:r>
    </w:p>
    <w:sectPr w:rsidR="00953179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DE7" w:rsidRDefault="00D64DE7">
      <w:pPr>
        <w:spacing w:line="240" w:lineRule="auto"/>
      </w:pPr>
      <w:r>
        <w:separator/>
      </w:r>
    </w:p>
  </w:endnote>
  <w:endnote w:type="continuationSeparator" w:id="0">
    <w:p w:rsidR="00D64DE7" w:rsidRDefault="00D64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C80DD2-046C-4678-9715-EB56670E91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A6ECE-25FF-43F3-BA58-A0F73354EF6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3179" w:rsidRDefault="00E33F48">
    <w:pPr>
      <w:jc w:val="center"/>
    </w:pPr>
    <w:r>
      <w:fldChar w:fldCharType="begin"/>
    </w:r>
    <w:r>
      <w:instrText>PAGE</w:instrText>
    </w:r>
    <w:r>
      <w:fldChar w:fldCharType="separate"/>
    </w:r>
    <w:r w:rsidR="00281F4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3179" w:rsidRDefault="0095317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DE7" w:rsidRDefault="00D64DE7">
      <w:pPr>
        <w:spacing w:line="240" w:lineRule="auto"/>
      </w:pPr>
      <w:r>
        <w:separator/>
      </w:r>
    </w:p>
  </w:footnote>
  <w:footnote w:type="continuationSeparator" w:id="0">
    <w:p w:rsidR="00D64DE7" w:rsidRDefault="00D64D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3179" w:rsidRDefault="00E33F48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53179" w:rsidRDefault="00953179">
    <w:pPr>
      <w:jc w:val="right"/>
    </w:pPr>
  </w:p>
  <w:p w:rsidR="00953179" w:rsidRDefault="00953179">
    <w:pPr>
      <w:jc w:val="right"/>
    </w:pPr>
  </w:p>
  <w:p w:rsidR="00953179" w:rsidRDefault="00E33F48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3179" w:rsidRDefault="0095317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179"/>
    <w:rsid w:val="00281F4E"/>
    <w:rsid w:val="00953179"/>
    <w:rsid w:val="00B308E9"/>
    <w:rsid w:val="00D64DE7"/>
    <w:rsid w:val="00E3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38E9C7-4741-40CD-A884-06ECAF79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81F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3lc4rm0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1305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2</cp:revision>
  <dcterms:created xsi:type="dcterms:W3CDTF">2026-05-14T06:21:00Z</dcterms:created>
  <dcterms:modified xsi:type="dcterms:W3CDTF">2026-05-14T06:21:00Z</dcterms:modified>
</cp:coreProperties>
</file>