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76BE" w14:textId="613D0D31" w:rsidR="00D52322" w:rsidRPr="00D52322" w:rsidRDefault="00CB3E2C" w:rsidP="00D52322">
      <w:pPr>
        <w:keepLines/>
        <w:widowControl w:val="0"/>
        <w:spacing w:line="240" w:lineRule="auto"/>
        <w:jc w:val="center"/>
        <w:rPr>
          <w:b/>
          <w:bCs/>
          <w:sz w:val="24"/>
          <w:szCs w:val="24"/>
        </w:rPr>
      </w:pPr>
      <w:r w:rsidRPr="00D52322">
        <w:rPr>
          <w:b/>
          <w:bCs/>
          <w:sz w:val="24"/>
          <w:szCs w:val="24"/>
        </w:rPr>
        <w:t>CONVERSATÓRIO 13 - O BEM COMUM COMO PRÁTICA E HORIZONTE POLÍTICO</w:t>
      </w:r>
    </w:p>
    <w:p w14:paraId="108549A6" w14:textId="6562D205" w:rsidR="00CB3E2C" w:rsidRDefault="00CB3E2C" w:rsidP="00D52322">
      <w:pPr>
        <w:keepLines/>
        <w:widowControl w:val="0"/>
        <w:spacing w:line="240" w:lineRule="auto"/>
        <w:jc w:val="center"/>
        <w:rPr>
          <w:b/>
          <w:bCs/>
          <w:sz w:val="24"/>
          <w:szCs w:val="24"/>
        </w:rPr>
      </w:pPr>
      <w:r w:rsidRPr="00D52322">
        <w:rPr>
          <w:b/>
          <w:bCs/>
          <w:sz w:val="24"/>
          <w:szCs w:val="24"/>
        </w:rPr>
        <w:t xml:space="preserve">DE POVOS INDÍGENAS, QUILOMBOLAS E COMUNIDADES TRADICIONAIS </w:t>
      </w:r>
    </w:p>
    <w:p w14:paraId="705919D1" w14:textId="0D80E1CD" w:rsidR="00DD13A1" w:rsidRPr="00CB3E2C" w:rsidRDefault="00DD13A1" w:rsidP="00CB3E2C">
      <w:pPr>
        <w:keepLines/>
        <w:widowControl w:val="0"/>
        <w:spacing w:line="240" w:lineRule="auto"/>
        <w:jc w:val="center"/>
        <w:rPr>
          <w:sz w:val="24"/>
          <w:szCs w:val="24"/>
        </w:rPr>
      </w:pPr>
    </w:p>
    <w:p w14:paraId="254066FB" w14:textId="77777777" w:rsidR="00DD13A1" w:rsidRDefault="00DD13A1">
      <w:pPr>
        <w:keepLines/>
        <w:widowControl w:val="0"/>
        <w:spacing w:line="240" w:lineRule="auto"/>
        <w:rPr>
          <w:b/>
          <w:bCs/>
          <w:sz w:val="24"/>
          <w:szCs w:val="24"/>
        </w:rPr>
      </w:pPr>
    </w:p>
    <w:p w14:paraId="5B9DEEDF" w14:textId="7D7FE447" w:rsidR="00DD13A1" w:rsidRDefault="00D427ED">
      <w:pPr>
        <w:keepLines/>
        <w:widowControl w:val="0"/>
        <w:spacing w:line="240" w:lineRule="auto"/>
        <w:jc w:val="center"/>
        <w:rPr>
          <w:b/>
          <w:bCs/>
          <w:sz w:val="24"/>
          <w:szCs w:val="24"/>
        </w:rPr>
      </w:pPr>
      <w:r>
        <w:rPr>
          <w:b/>
          <w:bCs/>
          <w:sz w:val="24"/>
          <w:szCs w:val="24"/>
        </w:rPr>
        <w:t xml:space="preserve"> </w:t>
      </w:r>
      <w:r w:rsidR="006043F7" w:rsidRPr="006043F7">
        <w:rPr>
          <w:b/>
          <w:bCs/>
          <w:sz w:val="24"/>
          <w:szCs w:val="24"/>
        </w:rPr>
        <w:t xml:space="preserve">Obrigações, Medos e Resistência Ontológica na </w:t>
      </w:r>
      <w:r w:rsidR="001E48CA">
        <w:rPr>
          <w:b/>
          <w:bCs/>
          <w:sz w:val="24"/>
          <w:szCs w:val="24"/>
        </w:rPr>
        <w:t>R</w:t>
      </w:r>
      <w:r w:rsidR="006043F7" w:rsidRPr="006043F7">
        <w:rPr>
          <w:b/>
          <w:bCs/>
          <w:sz w:val="24"/>
          <w:szCs w:val="24"/>
        </w:rPr>
        <w:t xml:space="preserve">egião de Maracanã em São </w:t>
      </w:r>
      <w:proofErr w:type="spellStart"/>
      <w:r w:rsidR="006043F7" w:rsidRPr="006043F7">
        <w:rPr>
          <w:b/>
          <w:bCs/>
          <w:sz w:val="24"/>
          <w:szCs w:val="24"/>
        </w:rPr>
        <w:t>Luís-MA</w:t>
      </w:r>
      <w:proofErr w:type="spellEnd"/>
      <w:r w:rsidR="006043F7" w:rsidRPr="006043F7">
        <w:rPr>
          <w:b/>
          <w:bCs/>
          <w:sz w:val="24"/>
          <w:szCs w:val="24"/>
        </w:rPr>
        <w:t>.</w:t>
      </w:r>
    </w:p>
    <w:p w14:paraId="5AF2E03C" w14:textId="77777777" w:rsidR="000727D0" w:rsidRDefault="000727D0">
      <w:pPr>
        <w:keepLines/>
        <w:widowControl w:val="0"/>
        <w:spacing w:line="240" w:lineRule="auto"/>
        <w:jc w:val="center"/>
        <w:rPr>
          <w:b/>
          <w:bCs/>
          <w:sz w:val="24"/>
          <w:szCs w:val="24"/>
        </w:rPr>
      </w:pPr>
    </w:p>
    <w:p w14:paraId="0A2F8173" w14:textId="77777777" w:rsidR="000727D0" w:rsidRDefault="000727D0">
      <w:pPr>
        <w:keepLines/>
        <w:widowControl w:val="0"/>
        <w:spacing w:line="240" w:lineRule="auto"/>
        <w:jc w:val="center"/>
        <w:rPr>
          <w:sz w:val="24"/>
          <w:szCs w:val="24"/>
        </w:rPr>
      </w:pPr>
    </w:p>
    <w:p w14:paraId="4F7EBC4F" w14:textId="77777777" w:rsidR="009E0473" w:rsidRPr="009E0473" w:rsidRDefault="009E0473" w:rsidP="000C6064">
      <w:pPr>
        <w:keepLines/>
        <w:widowControl w:val="0"/>
        <w:spacing w:line="240" w:lineRule="auto"/>
        <w:jc w:val="right"/>
        <w:rPr>
          <w:sz w:val="24"/>
          <w:szCs w:val="24"/>
        </w:rPr>
      </w:pPr>
      <w:r w:rsidRPr="009E0473">
        <w:rPr>
          <w:sz w:val="24"/>
          <w:szCs w:val="24"/>
        </w:rPr>
        <w:t>Luzinele de Alcobaça, lu.zinele@hotmail.com</w:t>
      </w:r>
    </w:p>
    <w:p w14:paraId="4C0B1125" w14:textId="77777777" w:rsidR="009E0473" w:rsidRPr="009E0473" w:rsidRDefault="009E0473" w:rsidP="000C6064">
      <w:pPr>
        <w:keepLines/>
        <w:widowControl w:val="0"/>
        <w:spacing w:line="240" w:lineRule="auto"/>
        <w:jc w:val="right"/>
        <w:rPr>
          <w:sz w:val="24"/>
          <w:szCs w:val="24"/>
        </w:rPr>
      </w:pPr>
      <w:proofErr w:type="spellStart"/>
      <w:r w:rsidRPr="009E0473">
        <w:rPr>
          <w:sz w:val="24"/>
          <w:szCs w:val="24"/>
        </w:rPr>
        <w:t>Rosirene</w:t>
      </w:r>
      <w:proofErr w:type="spellEnd"/>
      <w:r w:rsidRPr="009E0473">
        <w:rPr>
          <w:sz w:val="24"/>
          <w:szCs w:val="24"/>
        </w:rPr>
        <w:t xml:space="preserve"> Martins Lima, Universidade Estadual do Maranhão, rosirenelima1959@gmail.com</w:t>
      </w:r>
    </w:p>
    <w:p w14:paraId="54E1D0BB" w14:textId="68FCE10E" w:rsidR="00DD13A1" w:rsidRDefault="000C6064" w:rsidP="000C6064">
      <w:pPr>
        <w:keepLines/>
        <w:widowControl w:val="0"/>
        <w:spacing w:line="240" w:lineRule="auto"/>
        <w:jc w:val="right"/>
        <w:rPr>
          <w:sz w:val="24"/>
          <w:szCs w:val="24"/>
        </w:rPr>
      </w:pPr>
      <w:r>
        <w:rPr>
          <w:sz w:val="24"/>
          <w:szCs w:val="24"/>
        </w:rPr>
        <w:t xml:space="preserve">   </w:t>
      </w:r>
      <w:proofErr w:type="spellStart"/>
      <w:r w:rsidR="009E0473" w:rsidRPr="009E0473">
        <w:rPr>
          <w:sz w:val="24"/>
          <w:szCs w:val="24"/>
        </w:rPr>
        <w:t>Odelina</w:t>
      </w:r>
      <w:proofErr w:type="spellEnd"/>
      <w:r w:rsidR="009E0473" w:rsidRPr="009E0473">
        <w:rPr>
          <w:sz w:val="24"/>
          <w:szCs w:val="24"/>
        </w:rPr>
        <w:t xml:space="preserve"> Ferraz, União de Moradores de Alegria Maracanã, oddelinalima2612@gmail.com</w:t>
      </w:r>
    </w:p>
    <w:p w14:paraId="7611691A" w14:textId="77777777" w:rsidR="00DD13A1" w:rsidRDefault="00DD13A1">
      <w:pPr>
        <w:keepLines/>
        <w:widowControl w:val="0"/>
        <w:spacing w:line="240" w:lineRule="auto"/>
        <w:jc w:val="right"/>
        <w:rPr>
          <w:sz w:val="24"/>
          <w:szCs w:val="24"/>
        </w:rPr>
      </w:pPr>
    </w:p>
    <w:p w14:paraId="14A4C366" w14:textId="1D0F7A51" w:rsidR="00DD13A1" w:rsidRDefault="00DD13A1">
      <w:pPr>
        <w:keepLines/>
        <w:widowControl w:val="0"/>
        <w:spacing w:line="240" w:lineRule="auto"/>
        <w:jc w:val="right"/>
        <w:rPr>
          <w:sz w:val="24"/>
          <w:szCs w:val="24"/>
        </w:rPr>
      </w:pPr>
    </w:p>
    <w:p w14:paraId="0FE8E4D8" w14:textId="77777777" w:rsidR="00DD13A1" w:rsidRDefault="00DD13A1">
      <w:pPr>
        <w:keepLines/>
        <w:widowControl w:val="0"/>
        <w:spacing w:line="240" w:lineRule="auto"/>
        <w:rPr>
          <w:sz w:val="24"/>
          <w:szCs w:val="24"/>
        </w:rPr>
      </w:pPr>
    </w:p>
    <w:p w14:paraId="33CF9766" w14:textId="77777777" w:rsidR="00DD13A1" w:rsidRDefault="00DD13A1">
      <w:pPr>
        <w:keepLines/>
        <w:widowControl w:val="0"/>
        <w:spacing w:line="360" w:lineRule="auto"/>
        <w:rPr>
          <w:b/>
          <w:bCs/>
          <w:sz w:val="24"/>
          <w:szCs w:val="24"/>
        </w:rPr>
      </w:pPr>
    </w:p>
    <w:p w14:paraId="3DEFFC19" w14:textId="77777777" w:rsidR="00DD13A1" w:rsidRDefault="00D427ED">
      <w:pPr>
        <w:keepLines/>
        <w:widowControl w:val="0"/>
        <w:spacing w:line="360" w:lineRule="auto"/>
        <w:rPr>
          <w:b/>
          <w:bCs/>
          <w:sz w:val="24"/>
          <w:szCs w:val="24"/>
        </w:rPr>
      </w:pPr>
      <w:r>
        <w:rPr>
          <w:b/>
          <w:bCs/>
          <w:sz w:val="24"/>
          <w:szCs w:val="24"/>
        </w:rPr>
        <w:t>RESUMO</w:t>
      </w:r>
    </w:p>
    <w:p w14:paraId="3AA70EF8" w14:textId="77777777" w:rsidR="00DD13A1" w:rsidRDefault="00DD13A1">
      <w:pPr>
        <w:keepLines/>
        <w:widowControl w:val="0"/>
        <w:spacing w:line="360" w:lineRule="auto"/>
        <w:rPr>
          <w:b/>
          <w:bCs/>
          <w:sz w:val="24"/>
          <w:szCs w:val="24"/>
        </w:rPr>
      </w:pPr>
    </w:p>
    <w:p w14:paraId="72C30D5E" w14:textId="77777777" w:rsidR="003C0910" w:rsidRDefault="00E91E0D" w:rsidP="00E91E0D">
      <w:pPr>
        <w:keepLines/>
        <w:widowControl w:val="0"/>
        <w:spacing w:line="360" w:lineRule="auto"/>
        <w:jc w:val="both"/>
        <w:rPr>
          <w:sz w:val="24"/>
          <w:szCs w:val="24"/>
        </w:rPr>
      </w:pPr>
      <w:r w:rsidRPr="00E91E0D">
        <w:rPr>
          <w:sz w:val="24"/>
          <w:szCs w:val="24"/>
        </w:rPr>
        <w:t xml:space="preserve">A região de Maracanã engloba bairros rurais periféricos de São Luís como Maracanã, Alegria e Vila </w:t>
      </w:r>
      <w:proofErr w:type="spellStart"/>
      <w:r w:rsidRPr="00E91E0D">
        <w:rPr>
          <w:sz w:val="24"/>
          <w:szCs w:val="24"/>
        </w:rPr>
        <w:t>Mochel</w:t>
      </w:r>
      <w:proofErr w:type="spellEnd"/>
      <w:r w:rsidRPr="00E91E0D">
        <w:rPr>
          <w:sz w:val="24"/>
          <w:szCs w:val="24"/>
        </w:rPr>
        <w:t xml:space="preserve"> que têm especificidades políticas e culturais comuns. Entre 2013 e 2018, a implementação de residenciais do Programa Minha Casa Minha Vida impactou ecossistemas locais (brejos, rios, </w:t>
      </w:r>
      <w:proofErr w:type="spellStart"/>
      <w:r w:rsidRPr="00E91E0D">
        <w:rPr>
          <w:sz w:val="24"/>
          <w:szCs w:val="24"/>
        </w:rPr>
        <w:t>juçarais</w:t>
      </w:r>
      <w:proofErr w:type="spellEnd"/>
      <w:r w:rsidRPr="00E91E0D">
        <w:rPr>
          <w:sz w:val="24"/>
          <w:szCs w:val="24"/>
        </w:rPr>
        <w:t xml:space="preserve">), tensionando o modo de vida local. A pesquisa, por meio do método etnográfico, parte das experiências biográficas de núcleos familiares locais em contexto de múltiplas devastações. Analisamos essas experiências dialogando com o habitar em </w:t>
      </w:r>
      <w:proofErr w:type="spellStart"/>
      <w:r w:rsidRPr="00E91E0D">
        <w:rPr>
          <w:sz w:val="24"/>
          <w:szCs w:val="24"/>
        </w:rPr>
        <w:t>Ingold</w:t>
      </w:r>
      <w:proofErr w:type="spellEnd"/>
      <w:r w:rsidRPr="00E91E0D">
        <w:rPr>
          <w:sz w:val="24"/>
          <w:szCs w:val="24"/>
        </w:rPr>
        <w:t xml:space="preserve"> (2015) — no qual seres são linhas de movimento entrelaçadas a linhas de vida costuradas pelo sagrado e pela memória — e com o conceito de lugar de Massey (2000) enquanto nó onde essas trajetórias se cruzam, refletindo o embate entre antigos moradores e os novos conjuntos habitacionais.</w:t>
      </w:r>
    </w:p>
    <w:p w14:paraId="31ACEC48" w14:textId="64A03FF9" w:rsidR="00E91E0D" w:rsidRPr="00E91E0D" w:rsidRDefault="00E91E0D" w:rsidP="00E91E0D">
      <w:pPr>
        <w:keepLines/>
        <w:widowControl w:val="0"/>
        <w:spacing w:line="360" w:lineRule="auto"/>
        <w:jc w:val="both"/>
        <w:rPr>
          <w:sz w:val="24"/>
          <w:szCs w:val="24"/>
        </w:rPr>
      </w:pPr>
      <w:r w:rsidRPr="00E91E0D">
        <w:rPr>
          <w:sz w:val="24"/>
          <w:szCs w:val="24"/>
        </w:rPr>
        <w:t>A chegada dos conjuntos habitacionais é interpretada pelos antigos moradores como algo abrupto e deslocado das práticas socioespaciais locais. Essa leitura articula os conceitos de evento, violência e ordinário (Das, 2020), pois a chegada do programa habitacional é notada na descida ao cotidiano, sinalizando a continuidade da violência do "progresso" sentida desde a criação do Distrito Industrial nos anos 1980. Inspiradas em Das, compreendemos que essa violência catastrófica destrói progressivamente o mundo conhecido, forçando as pessoas a reabitarem o cotidiano e os lugares pelo trabalho silencioso do dia a dia, expresso em manifestações como a religiosidade doméstica.</w:t>
      </w:r>
    </w:p>
    <w:p w14:paraId="51F14FF6" w14:textId="77777777" w:rsidR="00E91E0D" w:rsidRPr="00E91E0D" w:rsidRDefault="00E91E0D" w:rsidP="00E91E0D">
      <w:pPr>
        <w:keepLines/>
        <w:widowControl w:val="0"/>
        <w:spacing w:line="360" w:lineRule="auto"/>
        <w:jc w:val="both"/>
        <w:rPr>
          <w:sz w:val="24"/>
          <w:szCs w:val="24"/>
        </w:rPr>
      </w:pPr>
      <w:r w:rsidRPr="00E91E0D">
        <w:rPr>
          <w:sz w:val="24"/>
          <w:szCs w:val="24"/>
        </w:rPr>
        <w:lastRenderedPageBreak/>
        <w:t>Políticas de desenvolvimento urbano historicamente tomam áreas rurais e franjas urbanas como estoque de terra barata para expansão de fronteiras de lucro e reprodução do capital (Maricato, 2002). Essa lógica avança agressivamente sobre áreas de proteção ambiental, como a APA do Maracanã — instituída pelo Decreto Estadual nº 12.103/1991, mas desamparada por tais políticas. A implementação dos residenciais do Programa Minha Casa Minha Vida, a partir de 2013, agudizou esse processo.</w:t>
      </w:r>
    </w:p>
    <w:p w14:paraId="319566FC" w14:textId="77777777" w:rsidR="00E91E0D" w:rsidRPr="00E91E0D" w:rsidRDefault="00E91E0D" w:rsidP="00E91E0D">
      <w:pPr>
        <w:keepLines/>
        <w:widowControl w:val="0"/>
        <w:spacing w:line="360" w:lineRule="auto"/>
        <w:jc w:val="both"/>
        <w:rPr>
          <w:sz w:val="24"/>
          <w:szCs w:val="24"/>
        </w:rPr>
      </w:pPr>
      <w:r w:rsidRPr="00E91E0D">
        <w:rPr>
          <w:sz w:val="24"/>
          <w:szCs w:val="24"/>
        </w:rPr>
        <w:t>A chegada dos residenciais Amendoeiras, Santo Antônio, Morada do Sol e Vila Maranhão intensificou impactos como assoreamento de rios, desmatamento da flora nativa (morte de juçareiras e buritizeiros) e perda da fauna. Esse evento gerou reflexões sobre as mudanças no modo de vida local, onde trajetórias familiares, brejos e rios são interrelacionados. O desenvolvimentismo urbano entra sem pedir “licença”, provocando nos antigos moradores um estranhamento ante novas espacialidades marcadas pela aproximação com as chamadas facções do crime organizado (Silva, 2020), pelo aumento da violência de Estado e pela disputa com o setor da construção civil.</w:t>
      </w:r>
    </w:p>
    <w:p w14:paraId="4B9CAA7D" w14:textId="77777777" w:rsidR="00E91E0D" w:rsidRPr="00E91E0D" w:rsidRDefault="00E91E0D" w:rsidP="00E91E0D">
      <w:pPr>
        <w:keepLines/>
        <w:widowControl w:val="0"/>
        <w:spacing w:line="360" w:lineRule="auto"/>
        <w:jc w:val="both"/>
        <w:rPr>
          <w:sz w:val="24"/>
          <w:szCs w:val="24"/>
        </w:rPr>
      </w:pPr>
      <w:r w:rsidRPr="00E91E0D">
        <w:rPr>
          <w:sz w:val="24"/>
          <w:szCs w:val="24"/>
        </w:rPr>
        <w:t xml:space="preserve">Esse contexto constituído por ansiedades urbanas nas interações entre pessoas e lugares se confronta com o de “obrigação” que configura uma espacialidade agregadora dos semelhantes e diferentes tanto humanos quanto não humanos. O termo é mobilizado localmente para caracterizar expectativas que rondam o cotidiano de uma vizinhança profundamente enredada entre si por relações de parentesco, afetividade e vínculos existenciais com santos católicos e entidades da religiosidade afro-brasileira. O pagamento de uma promessa (não regida pelos critérios do catolicismo institucional, diga-se) é a realização de uma “obrigação”, novando uma aliança que se tece, em algumas situações, simultaneamente com quem já morreu e com seu santo católico de devoção. As Festas de Reis, por exemplo, são obrigações passadas adiante ao longo de gerações. Os santos e entidades afro-brasileiros acompanham os moradores devotos e seus grupos familiares, auxiliando-os num mundo de imponderáveis, atravessado por uma lógica totalizadora cultivada no modo de vida urbano. Os festejos/festas, enquanto concretização da “obrigação” entre humanos e não humanos, são grandes dinamizadores dessas percepções e práticas radicais (Alcobaça, 2024). </w:t>
      </w:r>
    </w:p>
    <w:p w14:paraId="54454830" w14:textId="77777777" w:rsidR="00E91E0D" w:rsidRPr="00E91E0D" w:rsidRDefault="00E91E0D" w:rsidP="00E91E0D">
      <w:pPr>
        <w:keepLines/>
        <w:widowControl w:val="0"/>
        <w:spacing w:line="360" w:lineRule="auto"/>
        <w:jc w:val="both"/>
        <w:rPr>
          <w:sz w:val="24"/>
          <w:szCs w:val="24"/>
        </w:rPr>
      </w:pPr>
      <w:r w:rsidRPr="00E91E0D">
        <w:rPr>
          <w:sz w:val="24"/>
          <w:szCs w:val="24"/>
        </w:rPr>
        <w:lastRenderedPageBreak/>
        <w:t xml:space="preserve">A espacialidade das obrigações religiosas é feita por festividades originadas nas casas de um conjunto de grupos familiares e tem agregado historicamente o semelhante e o diferente, ou seja, aqueles que compõem seus laços de vizinhança próxima e aqueles oriundos de outras áreas da cidade de São Luís, incluindo os moradores dos residenciais mais recentemente. A festa é um evento que confronta uma multiplicidade de medos: o medo das adversidades materiais, o medo do infortúnio da doença, o medo da violência urbana crescente, o medo de não corresponder à reciprocidade dos entes não humanos e o medo da impessoalidade de uma lógica capitalista que ameaça capturar nossa percepção e ação numa perspectiva na qual casa e espaço público são dimensões quase sempre separadas. Concordando com </w:t>
      </w:r>
      <w:proofErr w:type="spellStart"/>
      <w:r w:rsidRPr="00E91E0D">
        <w:rPr>
          <w:sz w:val="24"/>
          <w:szCs w:val="24"/>
        </w:rPr>
        <w:t>Guatarri</w:t>
      </w:r>
      <w:proofErr w:type="spellEnd"/>
      <w:r w:rsidRPr="00E91E0D">
        <w:rPr>
          <w:sz w:val="24"/>
          <w:szCs w:val="24"/>
        </w:rPr>
        <w:t xml:space="preserve"> (1985), percebemos territórios existenciais envolvendo uma luta permanente entre dominação e insubmissão no quadro de alisamento dos espaços por uma lógica que se pretende universalizante preconizada nas políticas urbanas. </w:t>
      </w:r>
    </w:p>
    <w:p w14:paraId="00EF3DEC" w14:textId="77777777" w:rsidR="00E91E0D" w:rsidRPr="00E91E0D" w:rsidRDefault="00E91E0D" w:rsidP="00E91E0D">
      <w:pPr>
        <w:keepLines/>
        <w:widowControl w:val="0"/>
        <w:spacing w:line="360" w:lineRule="auto"/>
        <w:jc w:val="both"/>
        <w:rPr>
          <w:sz w:val="24"/>
          <w:szCs w:val="24"/>
        </w:rPr>
      </w:pPr>
      <w:r w:rsidRPr="00E91E0D">
        <w:rPr>
          <w:sz w:val="24"/>
          <w:szCs w:val="24"/>
        </w:rPr>
        <w:t xml:space="preserve">As mulheres rezadeiras da região de Maracanã com sua autoridade política no processo ritual das promessas aos santos realizados anualmente mobilizam sabres e práticas que educam a percepção humana para a co-presença em um mundo densamente povoado por seres e entes numa miríade de relações, enredando os lugares habitados. Dialogando com a noção de educação da atenção de </w:t>
      </w:r>
      <w:proofErr w:type="spellStart"/>
      <w:r w:rsidRPr="00E91E0D">
        <w:rPr>
          <w:sz w:val="24"/>
          <w:szCs w:val="24"/>
        </w:rPr>
        <w:t>Ingold</w:t>
      </w:r>
      <w:proofErr w:type="spellEnd"/>
      <w:r w:rsidRPr="00E91E0D">
        <w:rPr>
          <w:sz w:val="24"/>
          <w:szCs w:val="24"/>
        </w:rPr>
        <w:t xml:space="preserve"> (2016), podemos afirmar que recitar a ladainha em latim é aprender a partir das ligações com outras agências. Invocando a ação de entes não humanos, elas reconhecem a presença de ligações existenciais situadas fora da racionalidade do cálculo e da objetividade eurocêntrica se conectando no espaço da casa dos moradores, da rua e das trajetórias coletivas das comunidades da região. A reza abre os canais sensoriais para a co-presença dos santos. Isso altera a atmosfera da casa e da rua. As rezadeiras aprendem seu ofício não por uma transmissão passiva, mas sim pelo caráter da afetividade construída processualmente que lhes permitem observar as mudanças nos rios, na vegetação nativa e na sociabilidade como sinais de uma violência que requer atenção e cuidados, configurando uma resistência ontológica. </w:t>
      </w:r>
    </w:p>
    <w:p w14:paraId="0BC1D171" w14:textId="39215D52" w:rsidR="00E82D6A" w:rsidRDefault="00E91E0D" w:rsidP="00E91E0D">
      <w:pPr>
        <w:keepLines/>
        <w:widowControl w:val="0"/>
        <w:spacing w:line="360" w:lineRule="auto"/>
        <w:jc w:val="both"/>
        <w:rPr>
          <w:sz w:val="24"/>
          <w:szCs w:val="24"/>
        </w:rPr>
      </w:pPr>
      <w:r w:rsidRPr="00E91E0D">
        <w:rPr>
          <w:sz w:val="24"/>
          <w:szCs w:val="24"/>
        </w:rPr>
        <w:t xml:space="preserve"> </w:t>
      </w:r>
    </w:p>
    <w:p w14:paraId="66295D4C" w14:textId="2A452175" w:rsidR="00DD13A1" w:rsidRPr="00DF612E" w:rsidRDefault="00D427ED" w:rsidP="00DF612E">
      <w:pPr>
        <w:keepLines/>
        <w:widowControl w:val="0"/>
        <w:spacing w:line="240" w:lineRule="auto"/>
        <w:jc w:val="both"/>
      </w:pPr>
      <w:r>
        <w:rPr>
          <w:b/>
          <w:bCs/>
          <w:sz w:val="24"/>
          <w:szCs w:val="24"/>
        </w:rPr>
        <w:t>PALAVRAS-CHAVE</w:t>
      </w:r>
      <w:r w:rsidR="00DF612E">
        <w:rPr>
          <w:b/>
          <w:bCs/>
          <w:sz w:val="24"/>
          <w:szCs w:val="24"/>
        </w:rPr>
        <w:t xml:space="preserve">: </w:t>
      </w:r>
      <w:r w:rsidR="00DF612E" w:rsidRPr="00DF612E">
        <w:t>medos; obrigação; violência desenvolvimentista; programa Minha Casa Minha Vida.</w:t>
      </w:r>
    </w:p>
    <w:p w14:paraId="306AAC73" w14:textId="77777777" w:rsidR="00DD13A1" w:rsidRDefault="00DD13A1">
      <w:pPr>
        <w:keepLines/>
        <w:widowControl w:val="0"/>
        <w:spacing w:line="240" w:lineRule="auto"/>
        <w:rPr>
          <w:sz w:val="24"/>
          <w:szCs w:val="24"/>
        </w:rPr>
      </w:pPr>
    </w:p>
    <w:p w14:paraId="07667F7D" w14:textId="77777777" w:rsidR="00DD13A1" w:rsidRDefault="00DD13A1">
      <w:pPr>
        <w:keepLines/>
        <w:widowControl w:val="0"/>
        <w:spacing w:line="240" w:lineRule="auto"/>
        <w:rPr>
          <w:b/>
          <w:bCs/>
          <w:sz w:val="24"/>
          <w:szCs w:val="24"/>
        </w:rPr>
      </w:pPr>
    </w:p>
    <w:p w14:paraId="02358B5F" w14:textId="77777777" w:rsidR="00DD13A1" w:rsidRDefault="00D427ED">
      <w:pPr>
        <w:keepLines/>
        <w:widowControl w:val="0"/>
        <w:spacing w:line="240" w:lineRule="auto"/>
        <w:rPr>
          <w:sz w:val="24"/>
          <w:szCs w:val="24"/>
        </w:rPr>
      </w:pPr>
      <w:r>
        <w:rPr>
          <w:b/>
          <w:bCs/>
          <w:sz w:val="24"/>
          <w:szCs w:val="24"/>
        </w:rPr>
        <w:t>REFERÊNCIAS</w:t>
      </w:r>
      <w:r>
        <w:rPr>
          <w:sz w:val="24"/>
          <w:szCs w:val="24"/>
        </w:rPr>
        <w:t xml:space="preserve"> </w:t>
      </w:r>
    </w:p>
    <w:p w14:paraId="6CCE15E0" w14:textId="77777777" w:rsidR="003C0910" w:rsidRDefault="003C0910">
      <w:pPr>
        <w:rPr>
          <w:sz w:val="24"/>
          <w:szCs w:val="24"/>
        </w:rPr>
      </w:pPr>
    </w:p>
    <w:p w14:paraId="6C07B29E" w14:textId="73E6801F" w:rsidR="00DD13A1" w:rsidRDefault="003C0910" w:rsidP="00AA00A9">
      <w:pPr>
        <w:jc w:val="both"/>
        <w:rPr>
          <w:sz w:val="24"/>
          <w:szCs w:val="24"/>
        </w:rPr>
      </w:pPr>
      <w:r w:rsidRPr="003C0910">
        <w:rPr>
          <w:sz w:val="24"/>
          <w:szCs w:val="24"/>
        </w:rPr>
        <w:lastRenderedPageBreak/>
        <w:t xml:space="preserve">ALCOBAÇA, Luzinele Everton de. Os Mundos de Maracanã: obrigações, medos e transformações urbanas numa região da ilha de São </w:t>
      </w:r>
      <w:proofErr w:type="spellStart"/>
      <w:r w:rsidRPr="003C0910">
        <w:rPr>
          <w:sz w:val="24"/>
          <w:szCs w:val="24"/>
        </w:rPr>
        <w:t>Luís-MA</w:t>
      </w:r>
      <w:proofErr w:type="spellEnd"/>
      <w:r w:rsidRPr="003C0910">
        <w:rPr>
          <w:sz w:val="24"/>
          <w:szCs w:val="24"/>
        </w:rPr>
        <w:t>. 2024. Tese (Doutorado em Antropologia Social) – Universidade Federal de São Carlos, São Carlos, 2024.</w:t>
      </w:r>
    </w:p>
    <w:p w14:paraId="38D60E83" w14:textId="762C5E17" w:rsidR="003C0910" w:rsidRDefault="003C0910" w:rsidP="00AA00A9">
      <w:pPr>
        <w:jc w:val="both"/>
        <w:rPr>
          <w:sz w:val="24"/>
          <w:szCs w:val="24"/>
        </w:rPr>
      </w:pPr>
      <w:r w:rsidRPr="003C0910">
        <w:rPr>
          <w:sz w:val="24"/>
          <w:szCs w:val="24"/>
        </w:rPr>
        <w:t>GUATARRI, Félix. Espaço e Poder: a criação de territórios na cidade. Revista de Estudos Regionais e Urbanos. Ano V, 1985.</w:t>
      </w:r>
    </w:p>
    <w:p w14:paraId="64311426" w14:textId="77777777" w:rsidR="00863EE9" w:rsidRPr="00863EE9" w:rsidRDefault="00863EE9" w:rsidP="00AA00A9">
      <w:pPr>
        <w:jc w:val="both"/>
        <w:rPr>
          <w:sz w:val="24"/>
          <w:szCs w:val="24"/>
        </w:rPr>
      </w:pPr>
      <w:r w:rsidRPr="00863EE9">
        <w:rPr>
          <w:sz w:val="24"/>
          <w:szCs w:val="24"/>
        </w:rPr>
        <w:t>INGOLD, Tim. Estar Vivo: ensaios sobre movimento e descrição. Petrópolis: Vozes, 2015.</w:t>
      </w:r>
    </w:p>
    <w:p w14:paraId="4B13EFD2" w14:textId="49DEEA05" w:rsidR="00863EE9" w:rsidRDefault="00863EE9" w:rsidP="00AA00A9">
      <w:pPr>
        <w:jc w:val="both"/>
        <w:rPr>
          <w:sz w:val="24"/>
          <w:szCs w:val="24"/>
        </w:rPr>
      </w:pPr>
      <w:r w:rsidRPr="00863EE9">
        <w:rPr>
          <w:sz w:val="24"/>
          <w:szCs w:val="24"/>
        </w:rPr>
        <w:t>INGOLD, Tim. Chega de etnografia! A educação da atenção como propósito da antropologia. Educação, v. 39, n. 3, p. 404-411, 2016.</w:t>
      </w:r>
    </w:p>
    <w:p w14:paraId="371250A4" w14:textId="688FB832" w:rsidR="00863EE9" w:rsidRPr="00863EE9" w:rsidRDefault="00863EE9" w:rsidP="00AA00A9">
      <w:pPr>
        <w:jc w:val="both"/>
        <w:rPr>
          <w:sz w:val="24"/>
          <w:szCs w:val="24"/>
        </w:rPr>
      </w:pPr>
      <w:r w:rsidRPr="00863EE9">
        <w:rPr>
          <w:sz w:val="24"/>
          <w:szCs w:val="24"/>
        </w:rPr>
        <w:t>MARICATO, Ermínia. As ideias fora do lugar e o lugar fora das ideias. In:</w:t>
      </w:r>
      <w:r>
        <w:rPr>
          <w:sz w:val="24"/>
          <w:szCs w:val="24"/>
        </w:rPr>
        <w:t xml:space="preserve"> </w:t>
      </w:r>
      <w:r w:rsidRPr="00863EE9">
        <w:rPr>
          <w:sz w:val="24"/>
          <w:szCs w:val="24"/>
        </w:rPr>
        <w:t>MARICATO, Ermínia. A cidade do pensamento único: desmanchando mitos. 3. ed. Petrópolis: Vozes, 2002.</w:t>
      </w:r>
    </w:p>
    <w:p w14:paraId="048C95E2" w14:textId="54AC6883" w:rsidR="00863EE9" w:rsidRDefault="00863EE9" w:rsidP="00AA00A9">
      <w:pPr>
        <w:jc w:val="both"/>
        <w:rPr>
          <w:sz w:val="24"/>
          <w:szCs w:val="24"/>
        </w:rPr>
      </w:pPr>
      <w:r w:rsidRPr="00863EE9">
        <w:rPr>
          <w:sz w:val="24"/>
          <w:szCs w:val="24"/>
        </w:rPr>
        <w:t xml:space="preserve">MASSEY, </w:t>
      </w:r>
      <w:proofErr w:type="spellStart"/>
      <w:r w:rsidRPr="00863EE9">
        <w:rPr>
          <w:sz w:val="24"/>
          <w:szCs w:val="24"/>
        </w:rPr>
        <w:t>Doreen</w:t>
      </w:r>
      <w:proofErr w:type="spellEnd"/>
      <w:r w:rsidRPr="00863EE9">
        <w:rPr>
          <w:sz w:val="24"/>
          <w:szCs w:val="24"/>
        </w:rPr>
        <w:t xml:space="preserve">. Um Sentido Global de Lugar. In: ARANTES, </w:t>
      </w:r>
      <w:proofErr w:type="spellStart"/>
      <w:r w:rsidRPr="00863EE9">
        <w:rPr>
          <w:sz w:val="24"/>
          <w:szCs w:val="24"/>
        </w:rPr>
        <w:t>Antonio</w:t>
      </w:r>
      <w:proofErr w:type="spellEnd"/>
      <w:r w:rsidRPr="00863EE9">
        <w:rPr>
          <w:sz w:val="24"/>
          <w:szCs w:val="24"/>
        </w:rPr>
        <w:t xml:space="preserve"> A. (Org). O Espaço da Diferença. Campinas (SP): Papirus, 2000.</w:t>
      </w:r>
    </w:p>
    <w:p w14:paraId="4BFA8DF2" w14:textId="18706DA9" w:rsidR="00863EE9" w:rsidRPr="003C0910" w:rsidRDefault="00863EE9" w:rsidP="00AA00A9">
      <w:pPr>
        <w:jc w:val="both"/>
        <w:rPr>
          <w:sz w:val="24"/>
          <w:szCs w:val="24"/>
        </w:rPr>
      </w:pPr>
      <w:r w:rsidRPr="00863EE9">
        <w:rPr>
          <w:sz w:val="24"/>
          <w:szCs w:val="24"/>
        </w:rPr>
        <w:t>SILVA, Luiz Eduardo Lopes. “Trilha sonora da guerra”: análise das facções maranhenses e da formação da sensibilidade da juventude faccionada a partir do proibidão. 2020. Tese (Programa de Pós-Graduação em Educação) – Universidade Federal Fluminense, Niterói, 2020.</w:t>
      </w:r>
    </w:p>
    <w:p w14:paraId="7E5C4264" w14:textId="77777777" w:rsidR="00DD13A1" w:rsidRDefault="00DD13A1" w:rsidP="00AA00A9">
      <w:pPr>
        <w:spacing w:after="200" w:line="240" w:lineRule="auto"/>
        <w:jc w:val="both"/>
        <w:rPr>
          <w:b/>
          <w:bCs/>
          <w:sz w:val="24"/>
          <w:szCs w:val="24"/>
        </w:rPr>
      </w:pPr>
    </w:p>
    <w:sectPr w:rsidR="00DD13A1" w:rsidSect="00A02E4E">
      <w:headerReference w:type="default" r:id="rId7"/>
      <w:footerReference w:type="default" r:id="rId8"/>
      <w:headerReference w:type="first" r:id="rId9"/>
      <w:footerReference w:type="first" r:id="rId10"/>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9B8D" w14:textId="77777777" w:rsidR="00965722" w:rsidRDefault="00965722">
      <w:pPr>
        <w:spacing w:line="240" w:lineRule="auto"/>
      </w:pPr>
      <w:r>
        <w:separator/>
      </w:r>
    </w:p>
  </w:endnote>
  <w:endnote w:type="continuationSeparator" w:id="0">
    <w:p w14:paraId="403F08E0" w14:textId="77777777" w:rsidR="00965722" w:rsidRDefault="009657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A19947-29EB-4D8D-BDD5-81D991B663CE}"/>
  </w:font>
  <w:font w:name="Cambria">
    <w:panose1 w:val="02040503050406030204"/>
    <w:charset w:val="00"/>
    <w:family w:val="roman"/>
    <w:pitch w:val="variable"/>
    <w:sig w:usb0="E00006FF" w:usb1="420024FF" w:usb2="02000000" w:usb3="00000000" w:csb0="0000019F" w:csb1="00000000"/>
    <w:embedRegular r:id="rId2" w:fontKey="{5A99BD04-036A-4515-9A40-0562511B28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7DEF" w14:textId="77777777" w:rsidR="00DD13A1" w:rsidRDefault="00D427ED">
    <w:pPr>
      <w:jc w:val="center"/>
    </w:pPr>
    <w:r>
      <w:fldChar w:fldCharType="begin"/>
    </w:r>
    <w:r>
      <w:instrText>PAGE</w:instrText>
    </w:r>
    <w:r>
      <w:fldChar w:fldCharType="separate"/>
    </w:r>
    <w:r w:rsidR="000C62B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4DA0" w14:textId="77777777" w:rsidR="00DD13A1" w:rsidRDefault="00DD13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2C41" w14:textId="77777777" w:rsidR="00965722" w:rsidRDefault="00965722">
      <w:pPr>
        <w:spacing w:line="240" w:lineRule="auto"/>
      </w:pPr>
      <w:r>
        <w:separator/>
      </w:r>
    </w:p>
  </w:footnote>
  <w:footnote w:type="continuationSeparator" w:id="0">
    <w:p w14:paraId="0E7F5066" w14:textId="77777777" w:rsidR="00965722" w:rsidRDefault="009657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6C802" w14:textId="77777777" w:rsidR="00DD13A1" w:rsidRDefault="00D427ED">
    <w:pPr>
      <w:jc w:val="right"/>
    </w:pPr>
    <w:r>
      <w:rPr>
        <w:noProof/>
      </w:rPr>
      <w:drawing>
        <wp:anchor distT="114300" distB="114300" distL="114300" distR="114300" simplePos="0" relativeHeight="251658240" behindDoc="1" locked="0" layoutInCell="1" hidden="0" allowOverlap="1" wp14:anchorId="0CB0E60A" wp14:editId="7975C7ED">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683B513" wp14:editId="75C67BFB">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623BC10" w14:textId="77777777" w:rsidR="00DD13A1" w:rsidRDefault="00DD13A1">
    <w:pPr>
      <w:jc w:val="right"/>
    </w:pPr>
  </w:p>
  <w:p w14:paraId="23F2624B" w14:textId="77777777" w:rsidR="00DD13A1" w:rsidRDefault="00DD13A1">
    <w:pPr>
      <w:jc w:val="right"/>
    </w:pPr>
  </w:p>
  <w:p w14:paraId="24B19EBB" w14:textId="77777777" w:rsidR="00DD13A1" w:rsidRDefault="00D427ED">
    <w:r>
      <w:rPr>
        <w:noProof/>
      </w:rPr>
      <w:drawing>
        <wp:anchor distT="114300" distB="114300" distL="114300" distR="114300" simplePos="0" relativeHeight="251660288" behindDoc="1" locked="0" layoutInCell="1" hidden="0" allowOverlap="1" wp14:anchorId="5A8F4378" wp14:editId="451C3307">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79E40" w14:textId="77777777" w:rsidR="00DD13A1" w:rsidRDefault="00DD13A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3A1"/>
    <w:rsid w:val="00011564"/>
    <w:rsid w:val="00035A96"/>
    <w:rsid w:val="000727D0"/>
    <w:rsid w:val="000C6064"/>
    <w:rsid w:val="000C62B3"/>
    <w:rsid w:val="00187472"/>
    <w:rsid w:val="001E48CA"/>
    <w:rsid w:val="003C0910"/>
    <w:rsid w:val="006043F7"/>
    <w:rsid w:val="006C0C26"/>
    <w:rsid w:val="00863EE9"/>
    <w:rsid w:val="008875B7"/>
    <w:rsid w:val="00965722"/>
    <w:rsid w:val="009E0473"/>
    <w:rsid w:val="00A02E4E"/>
    <w:rsid w:val="00AA00A9"/>
    <w:rsid w:val="00AA2955"/>
    <w:rsid w:val="00C10719"/>
    <w:rsid w:val="00C54824"/>
    <w:rsid w:val="00C804E5"/>
    <w:rsid w:val="00C87409"/>
    <w:rsid w:val="00CB3E2C"/>
    <w:rsid w:val="00D427ED"/>
    <w:rsid w:val="00D52322"/>
    <w:rsid w:val="00DD13A1"/>
    <w:rsid w:val="00DF612E"/>
    <w:rsid w:val="00E03175"/>
    <w:rsid w:val="00E0408A"/>
    <w:rsid w:val="00E82D6A"/>
    <w:rsid w:val="00E91E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C968"/>
  <w15:docId w15:val="{21839726-BB95-492C-9528-25418A6FC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6C44A-F51F-4D59-8377-CBCB5E19E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1136</Words>
  <Characters>6639</Characters>
  <Application>Microsoft Office Word</Application>
  <DocSecurity>0</DocSecurity>
  <Lines>116</Lines>
  <Paragraphs>26</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Luzinele de Alcobaça</dc:creator>
  <cp:lastModifiedBy>Luzinele de Alcobaça</cp:lastModifiedBy>
  <cp:revision>6</cp:revision>
  <dcterms:created xsi:type="dcterms:W3CDTF">2026-07-02T14:15:00Z</dcterms:created>
  <dcterms:modified xsi:type="dcterms:W3CDTF">2026-07-02T14:36:00Z</dcterms:modified>
</cp:coreProperties>
</file>