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FFFA" w14:textId="77777777" w:rsidR="00DC429B" w:rsidRDefault="00000000">
      <w:pPr>
        <w:spacing w:line="360" w:lineRule="auto"/>
        <w:jc w:val="center"/>
      </w:pPr>
      <w:r>
        <w:rPr>
          <w:b/>
        </w:rPr>
        <w:t>CONVERSATÓRIO 15 - GÊNERO, RAÇA E SEXUALIDADE NA EDUCAÇÃO: INTERSECCIONALIDADES, TERRITÓRIOS DE (RE)EXISTÊNCIA E PEDAGOGIAS DESOBEDIENTES</w:t>
      </w:r>
    </w:p>
    <w:p w14:paraId="772CD05D" w14:textId="77777777" w:rsidR="00DC429B" w:rsidRDefault="00DC429B">
      <w:pPr>
        <w:spacing w:line="360" w:lineRule="auto"/>
        <w:jc w:val="center"/>
      </w:pPr>
    </w:p>
    <w:p w14:paraId="0D4288FB" w14:textId="77777777" w:rsidR="00DC429B" w:rsidRDefault="00000000">
      <w:pPr>
        <w:spacing w:line="360" w:lineRule="auto"/>
        <w:jc w:val="center"/>
      </w:pPr>
      <w:r>
        <w:rPr>
          <w:b/>
        </w:rPr>
        <w:t>Nome social, reconhecimento e pedagogias de (</w:t>
      </w:r>
      <w:proofErr w:type="spellStart"/>
      <w:r>
        <w:rPr>
          <w:b/>
        </w:rPr>
        <w:t>re</w:t>
      </w:r>
      <w:proofErr w:type="spellEnd"/>
      <w:r>
        <w:rPr>
          <w:b/>
        </w:rPr>
        <w:t>)existência: experiências de estudantes trans no cotidiano escolar</w:t>
      </w:r>
    </w:p>
    <w:p w14:paraId="4C8DCF23" w14:textId="77777777" w:rsidR="00DC429B" w:rsidRDefault="00DC429B">
      <w:pPr>
        <w:spacing w:line="360" w:lineRule="auto"/>
        <w:jc w:val="center"/>
      </w:pPr>
    </w:p>
    <w:p w14:paraId="77505644" w14:textId="77777777" w:rsidR="00DC429B" w:rsidRDefault="00000000">
      <w:pPr>
        <w:spacing w:line="360" w:lineRule="auto"/>
        <w:jc w:val="center"/>
      </w:pPr>
      <w:r>
        <w:t>Tarcísio de Jesus Moreira, Universidade Federal do Recôncavo da Bahia, tjm19882008@gmail.com</w:t>
      </w:r>
    </w:p>
    <w:p w14:paraId="600A65C3" w14:textId="77777777" w:rsidR="00DC429B" w:rsidRDefault="00DC429B">
      <w:pPr>
        <w:spacing w:line="360" w:lineRule="auto"/>
      </w:pPr>
    </w:p>
    <w:p w14:paraId="09EEDBCF" w14:textId="77777777" w:rsidR="00DC429B" w:rsidRDefault="00000000">
      <w:pPr>
        <w:spacing w:after="120" w:line="360" w:lineRule="auto"/>
      </w:pPr>
      <w:r>
        <w:rPr>
          <w:b/>
        </w:rPr>
        <w:t>RESUMO</w:t>
      </w:r>
    </w:p>
    <w:p w14:paraId="2B73523E" w14:textId="69353DC7" w:rsidR="00DC429B" w:rsidRDefault="00000000">
      <w:pPr>
        <w:spacing w:line="360" w:lineRule="auto"/>
        <w:jc w:val="both"/>
      </w:pPr>
      <w:r>
        <w:t xml:space="preserve">Este resumo expandido apresenta uma pesquisa de mestrado em desenvolvimento dedicada a compreender experiências escolares de estudantes trans em uma escola pública estadual </w:t>
      </w:r>
      <w:r w:rsidR="0017351F">
        <w:t>no interior da Bahia</w:t>
      </w:r>
      <w:r>
        <w:t xml:space="preserve">. O estudo toma o nome social, os pronomes, o corpo, a circulação pelos espaços e a permanência na escola como dimensões políticas do reconhecimento. A proposta dialoga com o </w:t>
      </w:r>
      <w:proofErr w:type="spellStart"/>
      <w:r>
        <w:t>Conversatório</w:t>
      </w:r>
      <w:proofErr w:type="spellEnd"/>
      <w:r>
        <w:t xml:space="preserve"> 15 ao situar a educação como território atravessado por gênero, raça, sexualidade, classe, territorialidade e colonialidade, no qual normas </w:t>
      </w:r>
      <w:proofErr w:type="spellStart"/>
      <w:r>
        <w:t>cisheteronormativas</w:t>
      </w:r>
      <w:proofErr w:type="spellEnd"/>
      <w:r>
        <w:t xml:space="preserve"> são repetidas, negociadas e também desobedecidas por presenças que tensionam os modos instituídos de ensinar, conviver e nomear. A pergunta que orienta a investigação é: como estudantes trans significam sua presença na escola e que estratégias constroem diante de práticas de acolhimento, silenciamento, indiferença, violência simbólica ou reconhecimento?</w:t>
      </w:r>
    </w:p>
    <w:p w14:paraId="0226D74A" w14:textId="77777777" w:rsidR="00DC429B" w:rsidRDefault="00000000">
      <w:pPr>
        <w:spacing w:line="360" w:lineRule="auto"/>
        <w:jc w:val="both"/>
      </w:pPr>
      <w:r>
        <w:t xml:space="preserve">Parte-se da compreensão de que a escola não funciona apenas como espaço de transmissão de conteúdos, mas como campo de produção de pertencimentos, hierarquias e fronteiras de humanidade. Em diálogo com Louro (1997) e Junqueira (2013), entende-se que o cotidiano escolar educa também pelo modo como organiza corpos, filas, banheiros, uniformes, chamadas, brincadeiras e expectativas sobre masculinidades e feminilidades. Nesse cenário, o nome social não aparece como simples informação burocrática. Ele afirma uma existência pública e reivindica que a pessoa seja reconhecida como sujeito legítimo. Bento (2014) contribui para pensar que, quando o uso do nome depende da sensibilidade individual de servidoras/es ou docentes, a cidadania trans permanece frágil e condicionada. Por isso, a disputa pelo nome, pelo pronome e pela apresentação corporal revela uma </w:t>
      </w:r>
      <w:r>
        <w:lastRenderedPageBreak/>
        <w:t>pedagogia do conflito: ao mesmo tempo em que denuncia a norma, produz novas possibilidades de presença.</w:t>
      </w:r>
    </w:p>
    <w:p w14:paraId="271DDF4B" w14:textId="77777777" w:rsidR="00DC429B" w:rsidRDefault="00000000">
      <w:pPr>
        <w:spacing w:line="360" w:lineRule="auto"/>
        <w:jc w:val="both"/>
      </w:pPr>
      <w:r>
        <w:t xml:space="preserve">O objetivo geral da pesquisa é compreender como estudantes trans elaboram sentidos sobre sua trajetória escolar, considerando relações com colegas, docentes, gestão, funcionários/as e familiares. Como objetivos específicos, busca-se analisar experiências de acolhimento e exclusão; identificar práticas institucionais que favorecem ou dificultam o reconhecimento; e interpretar como as narrativas estudantis expressam formas cotidianas de resistência, negociação e produção de pertencimento. A noção de reconhecimento, aproximada de </w:t>
      </w:r>
      <w:proofErr w:type="spellStart"/>
      <w:r>
        <w:t>Honneth</w:t>
      </w:r>
      <w:proofErr w:type="spellEnd"/>
      <w:r>
        <w:t xml:space="preserve"> (2003), permite compreender que ser chamado/a/e pelo nome escolhido e ter seus pronomes respeitados não constitui favor, concessão ou detalhe protocolar, mas condição para a dignidade nas relações escolares. Assim, a presença trans não pode ser reduzida à pauta da inclusão administrativa, pois envolve disputas afetivas, simbólicas, corporais, curriculares e territoriais.</w:t>
      </w:r>
    </w:p>
    <w:p w14:paraId="400BF692" w14:textId="77777777" w:rsidR="00DC429B" w:rsidRDefault="00000000">
      <w:pPr>
        <w:spacing w:line="360" w:lineRule="auto"/>
        <w:jc w:val="both"/>
      </w:pPr>
      <w:r>
        <w:t>Metodologicamente, o estudo assume abordagem qualitativa, com inspiração etnográfica, em uma escola pública estadual situada no Território de Identidade Portal do Sertão. A escolha pela etnografia decorre da necessidade de acompanhar relações, gestos, silêncios e sentidos produzidos no cotidiano, aproximando-se da ideia de descrição densa apresentada por Geertz (2008). O campo envolve estudantes trans do ensino médio e demais sujeitos que participam da vida escolar. Entre os procedimentos previstos e/ou utilizados estão observação participante, entrevistas semiestruturadas, entrevistas narrativas, questionários, grupos focais e diário de campo. A análise será temática e interpretativa, articulando narrativas, práticas observadas e documentos institucionais, sem desconsiderar a posição do pesquisador, suas implicações éticas e a necessidade de escuta cuidadosa diante de experiências marcadas por exposição, vulnerabilidade e resistência.</w:t>
      </w:r>
    </w:p>
    <w:p w14:paraId="25FF23F8" w14:textId="77777777" w:rsidR="00DC429B" w:rsidRDefault="00000000">
      <w:pPr>
        <w:spacing w:line="360" w:lineRule="auto"/>
        <w:jc w:val="both"/>
      </w:pPr>
      <w:r>
        <w:t xml:space="preserve">As aproximações iniciais indicam que o reconhecimento escolar ocorre de forma instável e desigual. Há relatos de apoio por parte de colegas, professoras/es e profissionais que acolhem as diferenças; entretanto, também surgem situações de isolamento, constrangimento, uso inadequado do nome social, desrespeito aos pronomes, vigilância sobre o corpo e insegurança em espaços como banheiros, quadras, filas e atividades coletivas. Em muitos casos, a instituição sabe da presença de estudantes trans, mas esse conhecimento não se transforma automaticamente em prática pedagógica comprometida. A afirmação de que “todos são alunos” pode produzir um efeito ambivalente: parece </w:t>
      </w:r>
      <w:r>
        <w:lastRenderedPageBreak/>
        <w:t>defender igualdade, mas pode apagar desigualdades concretas que atravessam gênero, raça, sexualidade, classe e território. Desse modo, o currículo oculto se manifesta nas ausências, nas piadas toleradas, nas correções dirigidas ao corpo e nas expectativas silenciosas sobre como cada estudante deve se apresentar.</w:t>
      </w:r>
    </w:p>
    <w:p w14:paraId="4813AE45" w14:textId="77777777" w:rsidR="00DC429B" w:rsidRDefault="00000000">
      <w:pPr>
        <w:spacing w:line="360" w:lineRule="auto"/>
        <w:jc w:val="both"/>
      </w:pPr>
      <w:r>
        <w:t xml:space="preserve">A perspectiva decolonial amplia a leitura dessas experiências ao questionar a naturalização das normas de gênero. A partir de </w:t>
      </w:r>
      <w:proofErr w:type="spellStart"/>
      <w:r>
        <w:t>Quijano</w:t>
      </w:r>
      <w:proofErr w:type="spellEnd"/>
      <w:r>
        <w:t xml:space="preserve"> (2005) e Segato (2021), compreende-se que a colonialidade organiza classificações de raça, gênero, corpo e humanidade, produzindo hierarquias que autorizam algumas existências e tornam outras suspeitas, corrigíveis ou invisíveis. No contexto de uma escola pública do interior baiano, estudantes trans não apenas demandam adaptação institucional; suas presenças provocam a escola a rever os critérios pelos quais reconhece quem pode ocupar, falar, aprender, desejar e permanecer. Suas trajetórias podem ser lidas como práticas de (</w:t>
      </w:r>
      <w:proofErr w:type="spellStart"/>
      <w:r>
        <w:t>re</w:t>
      </w:r>
      <w:proofErr w:type="spellEnd"/>
      <w:r>
        <w:t>)existência, pois transformam o espaço escolar em território de disputa por nomeação, escuta, circulação segura, afeto e legitimidade.</w:t>
      </w:r>
    </w:p>
    <w:p w14:paraId="36116A5A" w14:textId="77777777" w:rsidR="00DC429B" w:rsidRDefault="00000000">
      <w:pPr>
        <w:spacing w:line="360" w:lineRule="auto"/>
        <w:jc w:val="both"/>
      </w:pPr>
      <w:r>
        <w:t xml:space="preserve">Conclui-se que discutir experiências trans na educação exige deslocar o olhar da formalidade normativa para a escuta situada das vidas que atravessam a escola. O reconhecimento se produz em ações cotidianas: registrar corretamente o nome social, respeitar pronomes, intervir diante de violências, garantir uso seguro dos espaços, rever práticas pedagógicas e construir vínculos que sustentem a permanência. Ao propor esse debate em formato de </w:t>
      </w:r>
      <w:proofErr w:type="spellStart"/>
      <w:r>
        <w:t>conversatório</w:t>
      </w:r>
      <w:proofErr w:type="spellEnd"/>
      <w:r>
        <w:t>, o trabalho busca contribuir para pedagogias desobedientes, comprometidas com a circularidade da palavra, com saberes trans e travestis e com uma escola capaz de acolher diferenças sem domesticá-las.</w:t>
      </w:r>
    </w:p>
    <w:p w14:paraId="5529DE01" w14:textId="77777777" w:rsidR="00DC429B" w:rsidRDefault="00000000">
      <w:pPr>
        <w:spacing w:before="120" w:after="60" w:line="360" w:lineRule="auto"/>
      </w:pPr>
      <w:r>
        <w:rPr>
          <w:b/>
        </w:rPr>
        <w:t>PALAVRAS-CHAVE</w:t>
      </w:r>
    </w:p>
    <w:p w14:paraId="4236A800" w14:textId="3338BCEF" w:rsidR="00DC429B" w:rsidRPr="0017351F" w:rsidRDefault="0017351F">
      <w:pPr>
        <w:spacing w:line="360" w:lineRule="auto"/>
        <w:jc w:val="both"/>
        <w:rPr>
          <w:sz w:val="22"/>
        </w:rPr>
      </w:pPr>
      <w:r w:rsidRPr="0017351F">
        <w:rPr>
          <w:sz w:val="22"/>
        </w:rPr>
        <w:t>Estudantes Trans; Reconhecimento; Nome Social; Escola; Pedagogias De (Re)Existência.</w:t>
      </w:r>
    </w:p>
    <w:p w14:paraId="45D7E775" w14:textId="77777777" w:rsidR="00DC429B" w:rsidRDefault="00000000">
      <w:pPr>
        <w:spacing w:before="120" w:after="60" w:line="360" w:lineRule="auto"/>
      </w:pPr>
      <w:r>
        <w:rPr>
          <w:b/>
        </w:rPr>
        <w:t>REFERÊNCIAS</w:t>
      </w:r>
    </w:p>
    <w:p w14:paraId="06D75D15" w14:textId="77777777" w:rsidR="00DC429B" w:rsidRDefault="00000000">
      <w:pPr>
        <w:spacing w:line="360" w:lineRule="auto"/>
        <w:jc w:val="both"/>
      </w:pPr>
      <w:r>
        <w:t>BENTO, Berenice. Nome social para pessoas trans: cidadania precária e gambiarra legal. Contemporânea, São Carlos, v. 4, n. 1, p. 165-182, jan./jun. 2014.</w:t>
      </w:r>
    </w:p>
    <w:p w14:paraId="0F1A9F7C" w14:textId="77777777" w:rsidR="00DC429B" w:rsidRDefault="00000000">
      <w:pPr>
        <w:spacing w:line="360" w:lineRule="auto"/>
        <w:jc w:val="both"/>
      </w:pPr>
      <w:r>
        <w:t>GEERTZ, Clifford. A interpretação das culturas. Rio de Janeiro: LTC, 2008.</w:t>
      </w:r>
    </w:p>
    <w:p w14:paraId="0B651C03" w14:textId="77777777" w:rsidR="00DC429B" w:rsidRDefault="00000000">
      <w:pPr>
        <w:spacing w:line="360" w:lineRule="auto"/>
        <w:jc w:val="both"/>
      </w:pPr>
      <w:r>
        <w:t>HONNETH, Axel. Luta por reconhecimento: a gramática moral dos conflitos sociais. São Paulo: Editora 34, 2003.</w:t>
      </w:r>
    </w:p>
    <w:p w14:paraId="40F048E6" w14:textId="77777777" w:rsidR="00DC429B" w:rsidRDefault="00000000">
      <w:pPr>
        <w:spacing w:line="360" w:lineRule="auto"/>
        <w:jc w:val="both"/>
      </w:pPr>
      <w:r>
        <w:t>JUNQUEIRA, Rogério Diniz. Pedagogia do armário: a normatividade em ação. Retratos da Escola, Brasília, DF, v. 7, n. 13, p. 481-498, jul./dez. 2013.</w:t>
      </w:r>
    </w:p>
    <w:p w14:paraId="5D298707" w14:textId="77777777" w:rsidR="00DC429B" w:rsidRDefault="00000000">
      <w:pPr>
        <w:spacing w:line="360" w:lineRule="auto"/>
        <w:jc w:val="both"/>
      </w:pPr>
      <w:r>
        <w:lastRenderedPageBreak/>
        <w:t>LOURO, Guacira Lopes. Gênero, sexualidade e educação: uma perspectiva pós-estruturalista. Petrópolis: Vozes, 1997.</w:t>
      </w:r>
    </w:p>
    <w:p w14:paraId="1D2E11D4" w14:textId="77777777" w:rsidR="00DC429B" w:rsidRDefault="00000000">
      <w:pPr>
        <w:spacing w:line="360" w:lineRule="auto"/>
        <w:jc w:val="both"/>
      </w:pPr>
      <w:r>
        <w:t>QUIJANO, Aníbal. Colonialidade do poder, Eurocentrismo e América Latina. In: LANDER, Edgardo (org.). A colonialidade do saber: eurocentrismo e ciências sociais. São Paulo: CLACSO, 2005. p. 116-142.</w:t>
      </w:r>
    </w:p>
    <w:p w14:paraId="0B6EB647" w14:textId="77777777" w:rsidR="00DC429B" w:rsidRDefault="00000000">
      <w:pPr>
        <w:spacing w:line="360" w:lineRule="auto"/>
        <w:jc w:val="both"/>
      </w:pPr>
      <w:r>
        <w:t>SEGATO, Rita Laura. Crítica da colonialidade em oito ensaios: e uma antropologia por demanda. Rio de Janeiro: Bazar do Tempo, 2021.</w:t>
      </w:r>
    </w:p>
    <w:sectPr w:rsidR="00DC429B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A72EE" w14:textId="77777777" w:rsidR="00F4483C" w:rsidRDefault="00F4483C">
      <w:pPr>
        <w:spacing w:line="240" w:lineRule="auto"/>
      </w:pPr>
      <w:r>
        <w:separator/>
      </w:r>
    </w:p>
  </w:endnote>
  <w:endnote w:type="continuationSeparator" w:id="0">
    <w:p w14:paraId="20BD1934" w14:textId="77777777" w:rsidR="00F4483C" w:rsidRDefault="00F448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8599C3-1225-4655-8FA0-046E62A2E3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6C5821-B287-419D-A306-869A9F5E76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68E08" w14:textId="77777777" w:rsidR="00DC429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7351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E655A" w14:textId="77777777" w:rsidR="00DC429B" w:rsidRDefault="00DC42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0699" w14:textId="77777777" w:rsidR="00F4483C" w:rsidRDefault="00F4483C">
      <w:pPr>
        <w:spacing w:line="240" w:lineRule="auto"/>
      </w:pPr>
      <w:r>
        <w:separator/>
      </w:r>
    </w:p>
  </w:footnote>
  <w:footnote w:type="continuationSeparator" w:id="0">
    <w:p w14:paraId="48B0BB7F" w14:textId="77777777" w:rsidR="00F4483C" w:rsidRDefault="00F448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A6E5" w14:textId="77777777" w:rsidR="00DC429B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E603AE6" wp14:editId="6CC03FA7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2656C90E" wp14:editId="6A6BDA67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E45FA0" w14:textId="77777777" w:rsidR="00DC429B" w:rsidRDefault="00DC429B">
    <w:pPr>
      <w:jc w:val="right"/>
    </w:pPr>
  </w:p>
  <w:p w14:paraId="4935856B" w14:textId="77777777" w:rsidR="00DC429B" w:rsidRDefault="00DC429B">
    <w:pPr>
      <w:jc w:val="right"/>
    </w:pPr>
  </w:p>
  <w:p w14:paraId="254C434C" w14:textId="77777777" w:rsidR="00DC429B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6A683B9" wp14:editId="7D18360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9CE9" w14:textId="77777777" w:rsidR="00DC429B" w:rsidRDefault="00DC429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29B"/>
    <w:rsid w:val="00073E69"/>
    <w:rsid w:val="0017351F"/>
    <w:rsid w:val="00DC429B"/>
    <w:rsid w:val="00F4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E9AF3"/>
  <w15:docId w15:val="{364EF163-99D2-4BE2-AAE7-F3EF9F1B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1182</Words>
  <Characters>6388</Characters>
  <Application>Microsoft Office Word</Application>
  <DocSecurity>0</DocSecurity>
  <Lines>53</Lines>
  <Paragraphs>15</Paragraphs>
  <ScaleCrop>false</ScaleCrop>
  <Company/>
  <LinksUpToDate>false</LinksUpToDate>
  <CharactersWithSpaces>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tarcisio moura</cp:lastModifiedBy>
  <cp:revision>2</cp:revision>
  <dcterms:created xsi:type="dcterms:W3CDTF">2026-07-05T18:05:00Z</dcterms:created>
  <dcterms:modified xsi:type="dcterms:W3CDTF">2026-07-05T18:10:00Z</dcterms:modified>
</cp:coreProperties>
</file>