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5B4" w14:textId="77777777" w:rsidR="00F52F25" w:rsidRDefault="00F52F25" w:rsidP="00F52F25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BF48FA">
        <w:rPr>
          <w:b/>
          <w:bCs/>
          <w:sz w:val="24"/>
          <w:szCs w:val="24"/>
        </w:rPr>
        <w:t xml:space="preserve">CONVERSATÓRIO 05 </w:t>
      </w:r>
      <w:r>
        <w:rPr>
          <w:b/>
          <w:bCs/>
          <w:sz w:val="24"/>
          <w:szCs w:val="24"/>
        </w:rPr>
        <w:t>-</w:t>
      </w:r>
      <w:r w:rsidRPr="00BF48FA">
        <w:rPr>
          <w:b/>
          <w:bCs/>
          <w:sz w:val="24"/>
          <w:szCs w:val="24"/>
        </w:rPr>
        <w:t xml:space="preserve"> DECOLONIZAR E INTERCULTURALIZAR AS UNIVERSIDADES: AÇÕES AFIRMATIVAS, JUSTIÇA EPISTÊMICA E OUTROS MODOS DE CONHECER </w:t>
      </w:r>
    </w:p>
    <w:p w14:paraId="71B24C78" w14:textId="77777777" w:rsidR="00181EFA" w:rsidRDefault="00181EF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02C9865" w14:textId="77777777" w:rsidR="00181EFA" w:rsidRDefault="00181EF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453870A" w14:textId="7F46D026" w:rsidR="00181EFA" w:rsidRDefault="00F52F25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F52F25">
        <w:rPr>
          <w:b/>
          <w:bCs/>
          <w:sz w:val="24"/>
          <w:szCs w:val="24"/>
        </w:rPr>
        <w:t>A Liga Acadêmica de Bioética e Direitos Humanos (LiABDH) como espaço de diálogo de saberes e ecologia de saberes na universidade</w:t>
      </w:r>
    </w:p>
    <w:p w14:paraId="43707E19" w14:textId="77777777" w:rsidR="00181EFA" w:rsidRDefault="00181EFA">
      <w:pPr>
        <w:keepLines/>
        <w:widowControl w:val="0"/>
        <w:spacing w:line="240" w:lineRule="auto"/>
        <w:rPr>
          <w:sz w:val="24"/>
          <w:szCs w:val="24"/>
        </w:rPr>
      </w:pPr>
    </w:p>
    <w:p w14:paraId="4DA25B79" w14:textId="77777777" w:rsidR="00181EFA" w:rsidRDefault="00181EF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B8E6C7E" w14:textId="77777777" w:rsidR="00F52F25" w:rsidRPr="00F52F25" w:rsidRDefault="00F52F25" w:rsidP="00F52F25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F52F25">
        <w:rPr>
          <w:sz w:val="24"/>
          <w:szCs w:val="24"/>
        </w:rPr>
        <w:t>Raquel Almeida Vargas, Universidade de Brasília (UnB), raquel.9ctd@gmail.com</w:t>
      </w:r>
    </w:p>
    <w:p w14:paraId="61E4F8CE" w14:textId="77777777" w:rsidR="00F52F25" w:rsidRPr="00F52F25" w:rsidRDefault="00F52F25" w:rsidP="00F52F25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F52F25">
        <w:rPr>
          <w:sz w:val="24"/>
          <w:szCs w:val="24"/>
        </w:rPr>
        <w:t>Luiza Cunha Souza, Universidade de Brasília (UnB), lu1z4cunha@gmail.com</w:t>
      </w:r>
    </w:p>
    <w:p w14:paraId="5D489A5A" w14:textId="2829D82B" w:rsidR="00F52F25" w:rsidRDefault="00F52F25" w:rsidP="00F52F25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F52F25">
        <w:rPr>
          <w:sz w:val="24"/>
          <w:szCs w:val="24"/>
        </w:rPr>
        <w:t>Mariana Siqueira, Universidade de Brasília (UnB), marianaraposasilva@gmail.com</w:t>
      </w:r>
    </w:p>
    <w:p w14:paraId="70AF862F" w14:textId="77777777" w:rsidR="00181EFA" w:rsidRDefault="00181EFA">
      <w:pPr>
        <w:keepLines/>
        <w:widowControl w:val="0"/>
        <w:spacing w:line="240" w:lineRule="auto"/>
        <w:rPr>
          <w:sz w:val="24"/>
          <w:szCs w:val="24"/>
        </w:rPr>
      </w:pPr>
    </w:p>
    <w:p w14:paraId="18BBB84E" w14:textId="77777777" w:rsidR="00181EFA" w:rsidRDefault="00181EF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49A4C4B" w14:textId="77777777" w:rsidR="00181EFA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E6DCFC8" w14:textId="77777777" w:rsidR="00181EFA" w:rsidRDefault="00181EF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F3AB1A0" w14:textId="77777777" w:rsidR="00F52F25" w:rsidRDefault="00F52F25" w:rsidP="00F52F25">
      <w:pPr>
        <w:keepLines/>
        <w:widowControl w:val="0"/>
        <w:spacing w:line="360" w:lineRule="auto"/>
        <w:ind w:left="3402" w:firstLine="567"/>
        <w:jc w:val="both"/>
        <w:rPr>
          <w:sz w:val="20"/>
          <w:szCs w:val="20"/>
        </w:rPr>
      </w:pPr>
      <w:r w:rsidRPr="00F52F25">
        <w:rPr>
          <w:sz w:val="20"/>
          <w:szCs w:val="20"/>
        </w:rPr>
        <w:t>Viver e olhar-se viver não são, por consequência, sucessivos. Estão cada um no outro, todo o tempo. Olhar-se viver (o conhecimento) é parte do ato de viver e vice-versa. A realidade nos é dada a conhecer porque somos parte dela. Quanto mais profunda e totalmente buscamos conhecê-la, tanto mais total e profundamente estamos implicados nela. Segundo esta perspectiva, o conhecimento não é só, e talvez nem tanto, uma questão epistemológica. É igualmente uma questão ética [e política]. (QUIJANO, 1994, p. XV)</w:t>
      </w:r>
    </w:p>
    <w:p w14:paraId="02C144B2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0"/>
          <w:szCs w:val="20"/>
        </w:rPr>
      </w:pPr>
    </w:p>
    <w:p w14:paraId="634D7AC5" w14:textId="77777777" w:rsid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 xml:space="preserve">O presente trabalho constitui uma reflexão crítica sobre práticas educativas desenvolvidas no âmbito da Liga Acadêmica de Bioética e Direitos Humanos (LiABDH), projeto de extensão da Faculdade de Ciências e Tecnologias em Saúde (FCTS) da Universidade de Brasília (UnB). A LiABDH estrutura suas atividades a partir de uma perspectiva </w:t>
      </w:r>
      <w:proofErr w:type="spellStart"/>
      <w:r w:rsidRPr="00F52F25">
        <w:rPr>
          <w:sz w:val="24"/>
          <w:szCs w:val="24"/>
        </w:rPr>
        <w:t>inter</w:t>
      </w:r>
      <w:proofErr w:type="spellEnd"/>
      <w:r w:rsidRPr="00F52F25">
        <w:rPr>
          <w:sz w:val="24"/>
          <w:szCs w:val="24"/>
        </w:rPr>
        <w:t>-</w:t>
      </w:r>
      <w:proofErr w:type="spellStart"/>
      <w:r w:rsidRPr="00F52F25">
        <w:rPr>
          <w:sz w:val="24"/>
          <w:szCs w:val="24"/>
        </w:rPr>
        <w:t>multi-transdisciplinar</w:t>
      </w:r>
      <w:proofErr w:type="spellEnd"/>
      <w:r w:rsidRPr="00F52F25">
        <w:rPr>
          <w:sz w:val="24"/>
          <w:szCs w:val="24"/>
        </w:rPr>
        <w:t xml:space="preserve"> de militância programática e práxis social propostos por Garrafa (2005) para o campo da Bioética, orientada pelo tripé ensino, pesquisa e extensão, com compromisso explícito com a construção democrática, dialógica e plural do conhecimento. A partir dessa experiência concreta de ligantes de graduação e pós-graduação, este trabalho busca refletir sobre de que modo a liga funciona como um espaço de justiça epistêmica e ecologia de saberes no interior da universidade pública brasileira.</w:t>
      </w:r>
    </w:p>
    <w:p w14:paraId="786167D5" w14:textId="77777777" w:rsid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90074CF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lastRenderedPageBreak/>
        <w:t>As universidades brasileiras, herdeiras de uma tradição eurocêntrica de produção de conhecimento, historicamente marginalizaram saberes outros de comunidades indígenas, quilombolas, populares, afrodiaspóricos, tratando-os como objetos de estudo e não como fontes legítimas de epistemologia. Nesse contexto, iniciativas que propõem a pluralização epistemológica, isto é o reconhecimento de diferentes formas legítimas. De produção do conhecimento, dentro do espaço acadêmico adquirem relevância política, social e pedagógica. A LiABDH, ao se constituir como um projeto orientado pela Bioética e pelos Direitos Humanos desde uma perspectiva decolonial, promove debates e reflexões férteis nesse campo para a comunidade acadêmica e a sociedade civil.</w:t>
      </w:r>
    </w:p>
    <w:p w14:paraId="718DCD16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 xml:space="preserve">Através do pensamento crítico desde o Sul, o projeto de extensão propõe uma metodologia crítica à colonialidade do saber, isto é, a produção de conhecimentos pactuantes à colonialidade do poder (Flor do Nascimento e Garrafa, 2011). Sob esse ponto de vista, defendemos uma abordagem pluralista e de diversidade epistêmica, construída pela copresença e articulação do conhecimento científico e dos saberes populares, comunitários e indígenas, não pela substituição de um pelo outro, mas pela interação e complementaridade crítica entre eles. </w:t>
      </w:r>
    </w:p>
    <w:p w14:paraId="6801C56B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>A LiABDH materializa essa proposta em diferentes dimensões de sua prática. Primeiramente, em sua estrutura metodológica: ao operar com metodologias participativas e dialógicas, o projeto recusa a verticalização do saber entre professores e estudantes, promovendo a circularidade da palavra e a horizontalidade das trocas. Observamos como tal prática se manifesta concretamente nos Diálogos Plurais, nas rodas de conversa, nas aulas públicas abertas à comunidade e nos Diários de Bordo, que acolhem relatos e reflexões em diversas linguagens, inclusive não acadêmicas. A experiência vivida nessas práticas é, ela mesma, uma forma de produção de saber, o que este relato busca tornar visível.</w:t>
      </w:r>
    </w:p>
    <w:p w14:paraId="26FF809A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lastRenderedPageBreak/>
        <w:t xml:space="preserve">Em segundo lugar, a LiABDH opera como espaço epistêmico ao reconhecer e valorizar saberes produzidos por populações historicamente marginalizadas. A atividade denominada Nota de Reflexão são textos curtos, entre 4 </w:t>
      </w:r>
      <w:proofErr w:type="gramStart"/>
      <w:r w:rsidRPr="00F52F25">
        <w:rPr>
          <w:sz w:val="24"/>
          <w:szCs w:val="24"/>
        </w:rPr>
        <w:t>a</w:t>
      </w:r>
      <w:proofErr w:type="gramEnd"/>
      <w:r w:rsidRPr="00F52F25">
        <w:rPr>
          <w:sz w:val="24"/>
          <w:szCs w:val="24"/>
        </w:rPr>
        <w:t xml:space="preserve"> 5 páginas, escritos em linguagem acessível e apresentando análises e reflexões sobre temáticas que precisam de visibilidade, como masculinidades negras na periferia, política antimanicomial, guerra às drogas e seus impactos racialmente desiguais, além de questões ambientais e de proteção animal. Essas notas podem ser elaboradas por ligantes da graduação e/ou da pós-graduação ou convidados externos que tenham interesse no assunto, favorecendo a divulgação de ideias e a construção de debates com um público amplo. Além disso, a perspectiva decolonial, presente na identidade e na trajetória de seus membros, orienta a seleção e a condução desses debates. Ao articular Bioética e Direitos Humanos, a LiABDH promove o protagonismo intelectual de comunidades historicamente vulnerabilizadas, reconhecendo e legitimando seus saberes e experiências como formas legítimas de produção de conhecimento.</w:t>
      </w:r>
    </w:p>
    <w:p w14:paraId="32F5488C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>E enquanto extensão, na perspectiva dos ligantes, essas vivências ressignificam a formação acadêmica, articulando teoria e prática, fortalecendo o pertencimento e a consciência crítica, e revelando a universidade como espaço de escuta e coautoria do conhecimento</w:t>
      </w:r>
    </w:p>
    <w:p w14:paraId="06ECE9F8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>Através do tripé de ensino, pesquisa e extensão universitário, a Liga Acadêmica oportunizou a aprendizagem continuada pelos “quatro pilares da educação” da UNESCO (1998), o aprender a conhecer, o aprender a fazer, o aprender a viver juntos e o aprender a ser. A LiABDH atua além da escuta de vulnerabilidades, mas da resistência à colonialidade, com diversidade de experiências, saberes e inserções culturais.</w:t>
      </w:r>
    </w:p>
    <w:p w14:paraId="49D89108" w14:textId="77777777" w:rsidR="00F52F25" w:rsidRP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t xml:space="preserve">Portanto, reflete-se que o projeto de extensão se consolida como um espaço de resistência epistêmica dentro da universidade, porém ainda enfrenta desafios impostos por estruturas institucionais que reproduzem hierarquias de saber, meritocracia e elitismo acadêmico. Ademais, a presença e a permanência de estudantes de grupos historicamente </w:t>
      </w:r>
      <w:proofErr w:type="spellStart"/>
      <w:r w:rsidRPr="00F52F25">
        <w:rPr>
          <w:sz w:val="24"/>
          <w:szCs w:val="24"/>
        </w:rPr>
        <w:t>sub-representados</w:t>
      </w:r>
      <w:proofErr w:type="spellEnd"/>
      <w:r w:rsidRPr="00F52F25">
        <w:rPr>
          <w:sz w:val="24"/>
          <w:szCs w:val="24"/>
        </w:rPr>
        <w:t xml:space="preserve"> dependem do fortalecimento das políticas de ações afirmativas e da construção de um ambiente universitário mais acolhedor e inclusivo.</w:t>
      </w:r>
    </w:p>
    <w:p w14:paraId="08B12B06" w14:textId="1440B3C1" w:rsidR="00181EFA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52F25">
        <w:rPr>
          <w:sz w:val="24"/>
          <w:szCs w:val="24"/>
        </w:rPr>
        <w:lastRenderedPageBreak/>
        <w:t>Conclui-se que a LiABDH constitui uma experiência significativa de descolonização epistêmica dentro da universidade pública brasileira, ao propor práticas educativas que reconhecem a pluralidade de saberes, valorizam a horizontalidade do conhecimento e articulam Bioética e Direitos Humanos desde uma perspectiva comprometida com a justiça social e epistêmica. Sua análise oferece subsídios relevantes para o debate sobre a interseccionalidade, a interculturalização e a descolonização das universidades brasileiras.</w:t>
      </w:r>
    </w:p>
    <w:p w14:paraId="60484F95" w14:textId="77777777" w:rsidR="00F52F25" w:rsidRDefault="00F52F25" w:rsidP="00F52F2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FCC3C55" w14:textId="77777777" w:rsidR="00181EFA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933305E" w14:textId="45C4BBE6" w:rsidR="00181EFA" w:rsidRDefault="00F52F25" w:rsidP="00F52F25">
      <w:pPr>
        <w:keepLines/>
        <w:widowControl w:val="0"/>
        <w:spacing w:line="240" w:lineRule="auto"/>
        <w:rPr>
          <w:sz w:val="24"/>
          <w:szCs w:val="24"/>
        </w:rPr>
      </w:pPr>
      <w:r w:rsidRPr="00BF48FA">
        <w:t xml:space="preserve">Bioética; Decolonialidade; Direitos Humanos; </w:t>
      </w:r>
      <w:proofErr w:type="gramStart"/>
      <w:r>
        <w:t>L</w:t>
      </w:r>
      <w:r w:rsidRPr="00BF48FA">
        <w:t>iga</w:t>
      </w:r>
      <w:proofErr w:type="gramEnd"/>
      <w:r w:rsidRPr="00BF48FA">
        <w:t xml:space="preserve"> acadêmica</w:t>
      </w:r>
      <w:r>
        <w:t>.</w:t>
      </w:r>
    </w:p>
    <w:p w14:paraId="2BD3556D" w14:textId="77777777" w:rsidR="00181EFA" w:rsidRDefault="00181EFA">
      <w:pPr>
        <w:keepLines/>
        <w:widowControl w:val="0"/>
        <w:spacing w:line="240" w:lineRule="auto"/>
        <w:rPr>
          <w:sz w:val="24"/>
          <w:szCs w:val="24"/>
        </w:rPr>
      </w:pPr>
    </w:p>
    <w:p w14:paraId="6580F0D1" w14:textId="77777777" w:rsidR="00181EFA" w:rsidRDefault="00181EF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EA360F0" w14:textId="77777777" w:rsidR="00181EFA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3CA7594" w14:textId="77777777" w:rsidR="00F52F25" w:rsidRPr="00F52F25" w:rsidRDefault="00F52F25" w:rsidP="00F52F25">
      <w:pPr>
        <w:rPr>
          <w:sz w:val="24"/>
          <w:szCs w:val="24"/>
        </w:rPr>
      </w:pPr>
      <w:r w:rsidRPr="00F52F25">
        <w:rPr>
          <w:sz w:val="24"/>
          <w:szCs w:val="24"/>
        </w:rPr>
        <w:t>FLOR DO NASCIMENTO, Wanderson; GARRAFA, Volnei. Por uma Vida não Colonizada: diálogo entre bioética de intervenção e colonialidade. Saúde Soc. São Paulo, v.20, n.2, p.287-299, 2011. Disponível em: https://www.scielo.br/j/sausoc/a/HFbxZhqrS7qcs46XDtjLmWm/?format=pdf&amp;lang=pt. Acesso em: 29 jun. 2026</w:t>
      </w:r>
    </w:p>
    <w:p w14:paraId="690DA680" w14:textId="77777777" w:rsidR="00F52F25" w:rsidRPr="00F52F25" w:rsidRDefault="00F52F25" w:rsidP="00F52F25">
      <w:pPr>
        <w:rPr>
          <w:sz w:val="24"/>
          <w:szCs w:val="24"/>
        </w:rPr>
      </w:pPr>
    </w:p>
    <w:p w14:paraId="4BB96061" w14:textId="77777777" w:rsidR="00F52F25" w:rsidRPr="00F52F25" w:rsidRDefault="00F52F25" w:rsidP="00F52F25">
      <w:pPr>
        <w:rPr>
          <w:sz w:val="24"/>
          <w:szCs w:val="24"/>
        </w:rPr>
      </w:pPr>
      <w:r w:rsidRPr="00F52F25">
        <w:rPr>
          <w:sz w:val="24"/>
          <w:szCs w:val="24"/>
        </w:rPr>
        <w:t>GARRAFA, Volnei. Inclusão Social no contexto político da Bioética. Sociedade Brasileira de Bioética. Volume 1, no 2, 2005. Disponível em: https://scispace.com/pdf/inclusao-social-no-contexto-politico-da-bioetica-1nffyftxoy.pdf. Acesso em: 8 jul. 2026.</w:t>
      </w:r>
    </w:p>
    <w:p w14:paraId="21B347F3" w14:textId="77777777" w:rsidR="00F52F25" w:rsidRPr="00F52F25" w:rsidRDefault="00F52F25" w:rsidP="00F52F25">
      <w:pPr>
        <w:rPr>
          <w:sz w:val="24"/>
          <w:szCs w:val="24"/>
        </w:rPr>
      </w:pPr>
    </w:p>
    <w:p w14:paraId="75DBFF87" w14:textId="77777777" w:rsidR="00F52F25" w:rsidRPr="00F52F25" w:rsidRDefault="00F52F25" w:rsidP="00F52F25">
      <w:pPr>
        <w:rPr>
          <w:sz w:val="24"/>
          <w:szCs w:val="24"/>
        </w:rPr>
      </w:pPr>
      <w:r w:rsidRPr="00F52F25">
        <w:rPr>
          <w:sz w:val="24"/>
          <w:szCs w:val="24"/>
        </w:rPr>
        <w:t xml:space="preserve">QUIJANO, Aníbal. El Sueño Dogmático. In: DÍAZ, Oswaldo Fernández. Mariátegui o la Experiencia del Otro. Lima: Amauta, p. XI-XV, 1994. </w:t>
      </w:r>
    </w:p>
    <w:p w14:paraId="13E6DE79" w14:textId="77777777" w:rsidR="00F52F25" w:rsidRPr="00F52F25" w:rsidRDefault="00F52F25" w:rsidP="00F52F25">
      <w:pPr>
        <w:rPr>
          <w:sz w:val="24"/>
          <w:szCs w:val="24"/>
        </w:rPr>
      </w:pPr>
    </w:p>
    <w:p w14:paraId="030DD839" w14:textId="1AF18853" w:rsidR="00181EFA" w:rsidRDefault="00F52F25" w:rsidP="00F52F25">
      <w:r w:rsidRPr="00F52F25">
        <w:rPr>
          <w:sz w:val="24"/>
          <w:szCs w:val="24"/>
        </w:rPr>
        <w:t>UNESCO. Educação:  Um tesouro a descobrir.  Brasília/São Paulo:  Unesco/Cortez, 1998. Disponível em: https://unesdoc.unesco.org/ark:/48223/pf0000109590_por. Acesso em: 29 jun. 2026</w:t>
      </w:r>
    </w:p>
    <w:p w14:paraId="452CC492" w14:textId="77777777" w:rsidR="00181EFA" w:rsidRDefault="00181EFA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181EFA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73F2" w14:textId="77777777" w:rsidR="008B2035" w:rsidRDefault="008B2035">
      <w:pPr>
        <w:spacing w:line="240" w:lineRule="auto"/>
      </w:pPr>
      <w:r>
        <w:separator/>
      </w:r>
    </w:p>
  </w:endnote>
  <w:endnote w:type="continuationSeparator" w:id="0">
    <w:p w14:paraId="3EDF864B" w14:textId="77777777" w:rsidR="008B2035" w:rsidRDefault="008B2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4D79A1-DF1E-4E55-B3C6-D740430703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E31BA8-9CCE-44EC-B71A-2F31F25415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CD82" w14:textId="77777777" w:rsidR="00181E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0563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C9D8" w14:textId="77777777" w:rsidR="00181EFA" w:rsidRDefault="00181E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2183" w14:textId="77777777" w:rsidR="008B2035" w:rsidRDefault="008B2035">
      <w:pPr>
        <w:spacing w:line="240" w:lineRule="auto"/>
      </w:pPr>
      <w:r>
        <w:separator/>
      </w:r>
    </w:p>
  </w:footnote>
  <w:footnote w:type="continuationSeparator" w:id="0">
    <w:p w14:paraId="167B1C95" w14:textId="77777777" w:rsidR="008B2035" w:rsidRDefault="008B20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7C0B" w14:textId="77777777" w:rsidR="00181EFA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8E57AE5" wp14:editId="76A8832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9BD22F9" wp14:editId="27F38B3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AE6853" w14:textId="77777777" w:rsidR="00181EFA" w:rsidRDefault="00181EFA">
    <w:pPr>
      <w:jc w:val="right"/>
    </w:pPr>
  </w:p>
  <w:p w14:paraId="25E4DFB7" w14:textId="77777777" w:rsidR="00181EFA" w:rsidRDefault="00181EFA">
    <w:pPr>
      <w:jc w:val="right"/>
    </w:pPr>
  </w:p>
  <w:p w14:paraId="586745B9" w14:textId="77777777" w:rsidR="00181EFA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52F9D62" wp14:editId="4EB5967C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C6EF" w14:textId="77777777" w:rsidR="00181EFA" w:rsidRDefault="00181E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EFA"/>
    <w:rsid w:val="00181EFA"/>
    <w:rsid w:val="00292CEA"/>
    <w:rsid w:val="003714E2"/>
    <w:rsid w:val="005C7508"/>
    <w:rsid w:val="008B2035"/>
    <w:rsid w:val="00A0563C"/>
    <w:rsid w:val="00B97041"/>
    <w:rsid w:val="00F5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4AB1"/>
  <w15:docId w15:val="{7C69BD78-DD85-4D2E-B9DB-BA424A18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1188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Almeida Vargas</dc:creator>
  <cp:lastModifiedBy>Raquel Almeida Vargas</cp:lastModifiedBy>
  <cp:revision>2</cp:revision>
  <dcterms:created xsi:type="dcterms:W3CDTF">2026-07-10T14:07:00Z</dcterms:created>
  <dcterms:modified xsi:type="dcterms:W3CDTF">2026-07-10T14:07:00Z</dcterms:modified>
</cp:coreProperties>
</file>