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widowControl w:val="0"/>
        <w:spacing w:line="240" w:lineRule="auto"/>
        <w:jc w:val="center"/>
        <w:rPr>
          <w:b w:val="1"/>
          <w:bCs w:val="1"/>
          <w:sz w:val="24"/>
          <w:szCs w:val="24"/>
        </w:rPr>
      </w:pPr>
      <w:r w:rsidDel="00000000" w:rsidR="00000000" w:rsidRPr="00000000">
        <w:rPr>
          <w:b w:val="1"/>
          <w:bCs w:val="1"/>
          <w:sz w:val="24"/>
          <w:szCs w:val="24"/>
          <w:rtl w:val="0"/>
        </w:rPr>
        <w:t xml:space="preserve">CONVERSATÓRIO 7 - EDUCAÇÃO ANTIRRACISTA NA EDUCAÇÃO BÁSICA: EDUCANDO PARA AS RELAÇÕES ÉTNICO-RACIAIS</w:t>
      </w:r>
    </w:p>
    <w:p w:rsidR="00000000" w:rsidDel="00000000" w:rsidP="00000000" w:rsidRDefault="00000000" w:rsidRPr="00000000" w14:paraId="00000002">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3">
      <w:pPr>
        <w:keepLines w:val="1"/>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04">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5">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6">
      <w:pPr>
        <w:keepLines w:val="1"/>
        <w:widowControl w:val="0"/>
        <w:spacing w:line="240" w:lineRule="auto"/>
        <w:jc w:val="center"/>
        <w:rPr>
          <w:b w:val="1"/>
          <w:bCs w:val="1"/>
          <w:sz w:val="24"/>
          <w:szCs w:val="24"/>
        </w:rPr>
      </w:pPr>
      <w:r w:rsidDel="00000000" w:rsidR="00000000" w:rsidRPr="00000000">
        <w:rPr>
          <w:b w:val="1"/>
          <w:bCs w:val="1"/>
          <w:sz w:val="24"/>
          <w:szCs w:val="24"/>
          <w:rtl w:val="0"/>
        </w:rPr>
        <w:t xml:space="preserve"> Hierarquia racial nas brincadeiras entre crianças pequenas: resultados parciais de uma pesquisa etnográfica</w:t>
      </w:r>
    </w:p>
    <w:p w:rsidR="00000000" w:rsidDel="00000000" w:rsidP="00000000" w:rsidRDefault="00000000" w:rsidRPr="00000000" w14:paraId="00000007">
      <w:pPr>
        <w:keepLines w:val="1"/>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08">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09">
      <w:pPr>
        <w:keepLines w:val="1"/>
        <w:widowControl w:val="0"/>
        <w:spacing w:line="240" w:lineRule="auto"/>
        <w:jc w:val="right"/>
        <w:rPr>
          <w:sz w:val="24"/>
          <w:szCs w:val="24"/>
        </w:rPr>
      </w:pPr>
      <w:r w:rsidDel="00000000" w:rsidR="00000000" w:rsidRPr="00000000">
        <w:rPr>
          <w:rtl w:val="0"/>
        </w:rPr>
      </w:r>
    </w:p>
    <w:p w:rsidR="00000000" w:rsidDel="00000000" w:rsidP="00000000" w:rsidRDefault="00000000" w:rsidRPr="00000000" w14:paraId="0000000A">
      <w:pPr>
        <w:keepLines w:val="1"/>
        <w:widowControl w:val="0"/>
        <w:spacing w:line="240" w:lineRule="auto"/>
        <w:jc w:val="right"/>
        <w:rPr>
          <w:sz w:val="24"/>
          <w:szCs w:val="24"/>
        </w:rPr>
      </w:pPr>
      <w:r w:rsidDel="00000000" w:rsidR="00000000" w:rsidRPr="00000000">
        <w:rPr>
          <w:sz w:val="24"/>
          <w:szCs w:val="24"/>
          <w:rtl w:val="0"/>
        </w:rPr>
        <w:t xml:space="preserve">Sabrina da Paz  Moreira, </w:t>
      </w:r>
    </w:p>
    <w:p w:rsidR="00000000" w:rsidDel="00000000" w:rsidP="00000000" w:rsidRDefault="00000000" w:rsidRPr="00000000" w14:paraId="0000000B">
      <w:pPr>
        <w:keepLines w:val="1"/>
        <w:widowControl w:val="0"/>
        <w:spacing w:line="240" w:lineRule="auto"/>
        <w:jc w:val="right"/>
        <w:rPr>
          <w:sz w:val="24"/>
          <w:szCs w:val="24"/>
        </w:rPr>
      </w:pPr>
      <w:r w:rsidDel="00000000" w:rsidR="00000000" w:rsidRPr="00000000">
        <w:rPr>
          <w:sz w:val="24"/>
          <w:szCs w:val="24"/>
          <w:rtl w:val="0"/>
        </w:rPr>
        <w:t xml:space="preserve">Universidade de São Paulo,</w:t>
      </w:r>
    </w:p>
    <w:p w:rsidR="00000000" w:rsidDel="00000000" w:rsidP="00000000" w:rsidRDefault="00000000" w:rsidRPr="00000000" w14:paraId="0000000C">
      <w:pPr>
        <w:keepLines w:val="1"/>
        <w:widowControl w:val="0"/>
        <w:spacing w:line="240" w:lineRule="auto"/>
        <w:jc w:val="right"/>
        <w:rPr>
          <w:sz w:val="24"/>
          <w:szCs w:val="24"/>
        </w:rPr>
      </w:pPr>
      <w:hyperlink r:id="rId7">
        <w:r w:rsidDel="00000000" w:rsidR="00000000" w:rsidRPr="00000000">
          <w:rPr>
            <w:color w:val="1155cc"/>
            <w:sz w:val="24"/>
            <w:szCs w:val="24"/>
            <w:u w:val="single"/>
            <w:rtl w:val="0"/>
          </w:rPr>
          <w:t xml:space="preserve">sabrinamoreira@usp.br</w:t>
        </w:r>
      </w:hyperlink>
      <w:r w:rsidDel="00000000" w:rsidR="00000000" w:rsidRPr="00000000">
        <w:rPr>
          <w:rtl w:val="0"/>
        </w:rPr>
      </w:r>
    </w:p>
    <w:p w:rsidR="00000000" w:rsidDel="00000000" w:rsidP="00000000" w:rsidRDefault="00000000" w:rsidRPr="00000000" w14:paraId="0000000D">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0E">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0F">
      <w:pPr>
        <w:keepLines w:val="1"/>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10">
      <w:pPr>
        <w:keepLines w:val="1"/>
        <w:widowControl w:val="0"/>
        <w:spacing w:line="360" w:lineRule="auto"/>
        <w:rPr>
          <w:sz w:val="24"/>
          <w:szCs w:val="24"/>
        </w:rPr>
      </w:pPr>
      <w:r w:rsidDel="00000000" w:rsidR="00000000" w:rsidRPr="00000000">
        <w:rPr>
          <w:rtl w:val="0"/>
        </w:rPr>
      </w:r>
    </w:p>
    <w:p w:rsidR="00000000" w:rsidDel="00000000" w:rsidP="00000000" w:rsidRDefault="00000000" w:rsidRPr="00000000" w14:paraId="00000011">
      <w:pPr>
        <w:keepLines w:val="1"/>
        <w:widowControl w:val="0"/>
        <w:spacing w:line="360" w:lineRule="auto"/>
        <w:jc w:val="both"/>
        <w:rPr>
          <w:b w:val="1"/>
          <w:bCs w:val="1"/>
          <w:sz w:val="24"/>
          <w:szCs w:val="24"/>
        </w:rPr>
      </w:pPr>
      <w:r w:rsidDel="00000000" w:rsidR="00000000" w:rsidRPr="00000000">
        <w:rPr>
          <w:b w:val="1"/>
          <w:bCs w:val="1"/>
          <w:sz w:val="24"/>
          <w:szCs w:val="24"/>
          <w:rtl w:val="0"/>
        </w:rPr>
        <w:t xml:space="preserve">RESUMO</w:t>
      </w:r>
    </w:p>
    <w:p w:rsidR="00000000" w:rsidDel="00000000" w:rsidP="00000000" w:rsidRDefault="00000000" w:rsidRPr="00000000" w14:paraId="00000012">
      <w:pPr>
        <w:keepLines w:val="1"/>
        <w:widowControl w:val="0"/>
        <w:spacing w:line="360" w:lineRule="auto"/>
        <w:jc w:val="both"/>
        <w:rPr>
          <w:sz w:val="24"/>
          <w:szCs w:val="24"/>
        </w:rPr>
      </w:pPr>
      <w:r w:rsidDel="00000000" w:rsidR="00000000" w:rsidRPr="00000000">
        <w:rPr>
          <w:sz w:val="24"/>
          <w:szCs w:val="24"/>
          <w:rtl w:val="0"/>
        </w:rPr>
        <w:t xml:space="preserve">A presente comunicação tem por objetivo apresentar resultados parciais de uma pesquisa de mestrado em andamento, desenvolvida no Programa de Pós-Graduação em Educação da Faculdade de Educação da Universidade de São Paulo (FEUSP), vinculada ao DESEDUC – Grupo de Pesquisa em Desigualdades Educacionais. A investigação analisa os processos de construção racial nas brincadeiras de crianças pequenas em uma escola pública da região metropolitana de São Paulo, buscando compreender de que maneira a raça é construída nas brincadeiras entre as crianças e como, nesse processo, podem ser produzidas hierarquizações raciais desde a educação infantil. A pesquisa situa-se na interface entre os Estudos da Infância, a Sociologia da Educação e a Sociologia das Relações Raciais. Parte do entendimento de que a infância constitui um período socialmente ativo de produção de significados, no qual as crianças não apenas incorporam valores, discursos e classificações produzidos pela sociedade, mas também interpretam, negociam e recriam esses elementos em suas culturas de pares. Nessa perspectiva, as brincadeiras constituem espaços privilegiados para observar como significados raciais são produzidos, negociados e ressignificados pelas próprias crianças, possibilitando compreender os processos de construção racial que atravessam suas interações cotidianas. As pesquisas brasileiras sobre relações étnico-raciais na educação infantil têm produzido importantes contribuições para a compreensão das experiências de crianças negras, dos processos de construção identitária e das práticas pedagógicas voltadas à Educação para as Relações Étnico-Raciais. Entretanto, permanecem menos exploradas investigações que tomem como objeto central a construção da raça nas brincadeiras entre crianças pequenas e os processos pelos quais podem ser produzidas hierarquizações raciais nas interações infantis. Conforme argumenta Campos (2024), durante grande parte do desenvolvimento da Sociologia das Relações Raciais no Brasil, o foco das investigações concentrou-se na demonstração da existência do racismo e na análise das experiências da população negra. Em diálogo com essa crítica, Alberto Guerreiro Ramos já denunciava, ainda na década de 1940, que a produção intelectual brasileira havia transformado o negro em objeto privilegiado das pesquisas raciais, relegando a segundo plano a investigação da branquitude, da norma branca e dos mecanismos responsáveis pela produção e reprodução das desigualdades raciais (Ramos, 2023). Ao deslocar o olhar para os processos cotidianos de construção racial entre crianças pequenas, esta pesquisa busca compreender como a raça é produzida nas interações infantis, sem pressupor que essas relações se manifestem exclusivamente por meio de conflitos explícitos ou de episódios reconhecidos como discriminação racial. Interessa compreender como pertencimentos, aproximações, recusas, classificações e formas de reconhecimento podem produzir sentidos racializados nas brincadeiras, contribuindo para a compreensão dos mecanismos pelos quais as diferenças raciais são construídas no cotidiano escolar. A investigação dialoga com a noção de </w:t>
      </w:r>
      <w:r w:rsidDel="00000000" w:rsidR="00000000" w:rsidRPr="00000000">
        <w:rPr>
          <w:i w:val="1"/>
          <w:iCs w:val="1"/>
          <w:sz w:val="24"/>
          <w:szCs w:val="24"/>
          <w:rtl w:val="0"/>
        </w:rPr>
        <w:t xml:space="preserve">everyday race-making</w:t>
      </w:r>
      <w:r w:rsidDel="00000000" w:rsidR="00000000" w:rsidRPr="00000000">
        <w:rPr>
          <w:sz w:val="24"/>
          <w:szCs w:val="24"/>
          <w:rtl w:val="0"/>
        </w:rPr>
        <w:t xml:space="preserve">, desenvolvida por Lewis (2003), compreendendo a raça como um processo social continuamente produzido nas relações cotidianas. Nessa perspectiva, a construção racial não corresponde apenas à atribuição de categorias raciais previamente definidas, mas envolve negociações permanentes entre </w:t>
      </w:r>
      <w:r w:rsidDel="00000000" w:rsidR="00000000" w:rsidRPr="00000000">
        <w:rPr>
          <w:sz w:val="24"/>
          <w:szCs w:val="24"/>
          <w:rtl w:val="0"/>
        </w:rPr>
        <w:t xml:space="preserve">autoidentificações</w:t>
      </w:r>
      <w:r w:rsidDel="00000000" w:rsidR="00000000" w:rsidRPr="00000000">
        <w:rPr>
          <w:sz w:val="24"/>
          <w:szCs w:val="24"/>
          <w:rtl w:val="0"/>
        </w:rPr>
        <w:t xml:space="preserve">, classificações atribuídas pelos outros, práticas sociais, discursos e diferentes formas de reconhecimento produzidas ao longo das interações. Tal perspectiva permite compreender a racialização como um processo relacional, situado e cotidiano, cuja análise exige atenção às experiências concretas vividas pelas crianças e aos significados construídos por elas em seus contextos de convivência. A pesquisa adota abordagem qualitativa inspirada na etnografia, tendo como principal procedimento metodológico a observação participante em uma turma de educação infantil de uma escola pública. O trabalho de campo vem sendo desenvolvido por meio da inserção da pesquisadora no cotidiano escolar, utilizando registros em diário de campo, descrição sistemática das brincadeiras, observação das interações entre as crianças e documentação das situações vivenciadas ao longo da rotina da instituição. A perspectiva etnográfica permite acompanhar os processos cotidianos de produção de significados, privilegiando as interpretações produzidas pelas próprias crianças durante suas brincadeiras e demais momentos de convivência. Orienta-se pela seguinte questão: é possível identificar hierarquização racial nas brincadeiras de crianças pequenas na educação infantil? A partir dessa questão, busca-se analisar como as crianças organizam pertencimentos, distribuem posições nas brincadeiras, estabelecem aproximações e afastamentos, negociam papéis sociais e atribuem significados às diferenças raciais presentes em seu cotidiano. Interessa compreender como esses processos participam da construção racial das crianças e em que medida podem produzir formas de hierarquização racial nas relações estabelecidas entre os pares. Os resultados parciais, atualmente em processo de sistematização e análise, vêm permitindo identificar episódios que evidenciam a potencialidade da abordagem etnográfica para compreender a construção racial nas brincadeiras infantis. A observação do cotidiano escolar possibilita acompanhar negociações de pertencimento, disputas simbólicas, formas de reconhecimento e processos de significação produzidos pelas próprias crianças, permitindo analisar de que maneira a raça emerge como dimensão constitutiva de determinadas interações. A análise em desenvolvimento busca compreender esses episódios considerando os sentidos produzidos pelas crianças e atentando para a possível atuação da branquitude como referência normativa na organização das relações, sempre que essa dinâmica se mostrar empiricamente sustentada pelos dados produzidos durante o trabalho de campo. Ao apresentar resultados parciais da pesquisa, pretende-se contribuir para o fortalecimento das discussões sobre Educação para as Relações Étnico-Raciais na Educação Infantil, ampliando o debate sobre os processos de construção racial desde a primeira infância e sobre os mecanismos cotidianos pelos quais a hierarquização racial pode ser produzida nas brincadeiras entre crianças pequenas. Espera-se, ainda, oferecer elementos que contribuam para a formulação de práticas pedagógicas comprometidas com uma educação antirracista, reconhecendo as crianças como sujeitos ativos na produção de significados sobre raça e destacando a importância de compreender esses processos para a efetivação das Leis nº 10.639/2003 e nº 11.645/2008 na Educação Básica.</w:t>
      </w:r>
    </w:p>
    <w:p w:rsidR="00000000" w:rsidDel="00000000" w:rsidP="00000000" w:rsidRDefault="00000000" w:rsidRPr="00000000" w14:paraId="00000013">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14">
      <w:pPr>
        <w:keepLines w:val="1"/>
        <w:widowControl w:val="0"/>
        <w:spacing w:line="360" w:lineRule="auto"/>
        <w:jc w:val="both"/>
        <w:rPr>
          <w:b w:val="1"/>
          <w:bCs w:val="1"/>
          <w:sz w:val="24"/>
          <w:szCs w:val="24"/>
        </w:rPr>
      </w:pPr>
      <w:r w:rsidDel="00000000" w:rsidR="00000000" w:rsidRPr="00000000">
        <w:rPr>
          <w:b w:val="1"/>
          <w:bCs w:val="1"/>
          <w:sz w:val="24"/>
          <w:szCs w:val="24"/>
          <w:rtl w:val="0"/>
        </w:rPr>
        <w:t xml:space="preserve">PALAVRAS-CHAVE</w:t>
      </w:r>
    </w:p>
    <w:p w:rsidR="00000000" w:rsidDel="00000000" w:rsidP="00000000" w:rsidRDefault="00000000" w:rsidRPr="00000000" w14:paraId="00000015">
      <w:pPr>
        <w:keepLines w:val="1"/>
        <w:widowControl w:val="0"/>
        <w:spacing w:line="240" w:lineRule="auto"/>
        <w:jc w:val="both"/>
        <w:rPr/>
      </w:pPr>
      <w:r w:rsidDel="00000000" w:rsidR="00000000" w:rsidRPr="00000000">
        <w:rPr>
          <w:rtl w:val="0"/>
        </w:rPr>
        <w:t xml:space="preserve">Hierarquia Racial; Construção Racial; Brincadeiras; Educação Infantil; Relações Étnico-Raciais; Crianças Pequenas.</w:t>
      </w:r>
    </w:p>
    <w:p w:rsidR="00000000" w:rsidDel="00000000" w:rsidP="00000000" w:rsidRDefault="00000000" w:rsidRPr="00000000" w14:paraId="00000016">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17">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18">
      <w:pPr>
        <w:keepLines w:val="1"/>
        <w:widowControl w:val="0"/>
        <w:spacing w:line="240" w:lineRule="auto"/>
        <w:rPr>
          <w:sz w:val="24"/>
          <w:szCs w:val="24"/>
        </w:rPr>
      </w:pPr>
      <w:r w:rsidDel="00000000" w:rsidR="00000000" w:rsidRPr="00000000">
        <w:rPr>
          <w:b w:val="1"/>
          <w:bCs w:val="1"/>
          <w:sz w:val="24"/>
          <w:szCs w:val="24"/>
          <w:rtl w:val="0"/>
        </w:rPr>
        <w:t xml:space="preserve">REFERÊNCIAS</w:t>
      </w:r>
      <w:r w:rsidDel="00000000" w:rsidR="00000000" w:rsidRPr="00000000">
        <w:rPr>
          <w:sz w:val="24"/>
          <w:szCs w:val="24"/>
          <w:rtl w:val="0"/>
        </w:rPr>
        <w:t xml:space="preserve"> </w:t>
      </w:r>
    </w:p>
    <w:p w:rsidR="00000000" w:rsidDel="00000000" w:rsidP="00000000" w:rsidRDefault="00000000" w:rsidRPr="00000000" w14:paraId="00000019">
      <w:pPr>
        <w:keepLines w:val="1"/>
        <w:widowControl w:val="0"/>
        <w:spacing w:line="240" w:lineRule="auto"/>
        <w:rPr>
          <w:sz w:val="24"/>
          <w:szCs w:val="24"/>
        </w:rPr>
      </w:pPr>
      <w:r w:rsidDel="00000000" w:rsidR="00000000" w:rsidRPr="00000000">
        <w:rPr>
          <w:sz w:val="24"/>
          <w:szCs w:val="24"/>
          <w:rtl w:val="0"/>
        </w:rPr>
        <w:t xml:space="preserve">CAMPOS, L. A. </w:t>
      </w:r>
      <w:r w:rsidDel="00000000" w:rsidR="00000000" w:rsidRPr="00000000">
        <w:rPr>
          <w:b w:val="1"/>
          <w:bCs w:val="1"/>
          <w:sz w:val="24"/>
          <w:szCs w:val="24"/>
          <w:rtl w:val="0"/>
        </w:rPr>
        <w:t xml:space="preserve">Racismo no Brasil:</w:t>
      </w:r>
      <w:r w:rsidDel="00000000" w:rsidR="00000000" w:rsidRPr="00000000">
        <w:rPr>
          <w:sz w:val="24"/>
          <w:szCs w:val="24"/>
          <w:rtl w:val="0"/>
        </w:rPr>
        <w:t xml:space="preserve"> de hipótese a premissa, sem passar por objeto. Tempo Social, 36(2), 13-35. 2024. Disponível em: &lt;</w:t>
      </w:r>
      <w:hyperlink r:id="rId8">
        <w:r w:rsidDel="00000000" w:rsidR="00000000" w:rsidRPr="00000000">
          <w:rPr>
            <w:color w:val="1155cc"/>
            <w:sz w:val="24"/>
            <w:szCs w:val="24"/>
            <w:u w:val="single"/>
            <w:rtl w:val="0"/>
          </w:rPr>
          <w:t xml:space="preserve">https://doi.org/10.11606/0103-2070.ts.2024.222555</w:t>
        </w:r>
      </w:hyperlink>
      <w:r w:rsidDel="00000000" w:rsidR="00000000" w:rsidRPr="00000000">
        <w:rPr>
          <w:sz w:val="24"/>
          <w:szCs w:val="24"/>
          <w:rtl w:val="0"/>
        </w:rPr>
        <w:t xml:space="preserve">&gt;. Acesso em 10 de jul 2026.</w:t>
      </w:r>
    </w:p>
    <w:p w:rsidR="00000000" w:rsidDel="00000000" w:rsidP="00000000" w:rsidRDefault="00000000" w:rsidRPr="00000000" w14:paraId="0000001A">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1B">
      <w:pPr>
        <w:keepLines w:val="1"/>
        <w:widowControl w:val="0"/>
        <w:spacing w:line="240" w:lineRule="auto"/>
        <w:rPr>
          <w:sz w:val="24"/>
          <w:szCs w:val="24"/>
        </w:rPr>
      </w:pPr>
      <w:r w:rsidDel="00000000" w:rsidR="00000000" w:rsidRPr="00000000">
        <w:rPr>
          <w:sz w:val="24"/>
          <w:szCs w:val="24"/>
          <w:rtl w:val="0"/>
        </w:rPr>
        <w:t xml:space="preserve">LEWIS, Amanda E. </w:t>
      </w:r>
      <w:r w:rsidDel="00000000" w:rsidR="00000000" w:rsidRPr="00000000">
        <w:rPr>
          <w:b w:val="1"/>
          <w:bCs w:val="1"/>
          <w:sz w:val="24"/>
          <w:szCs w:val="24"/>
          <w:rtl w:val="0"/>
        </w:rPr>
        <w:t xml:space="preserve">Everyday race-making:</w:t>
      </w:r>
      <w:r w:rsidDel="00000000" w:rsidR="00000000" w:rsidRPr="00000000">
        <w:rPr>
          <w:sz w:val="24"/>
          <w:szCs w:val="24"/>
          <w:rtl w:val="0"/>
        </w:rPr>
        <w:t xml:space="preserve"> navigating racial boundaries in schools. American Behavioral Scientist, v. 47, n. 3, p. 283–305, 2003. DOI: &lt;</w:t>
      </w:r>
      <w:hyperlink r:id="rId9">
        <w:r w:rsidDel="00000000" w:rsidR="00000000" w:rsidRPr="00000000">
          <w:rPr>
            <w:color w:val="1155cc"/>
            <w:sz w:val="24"/>
            <w:szCs w:val="24"/>
            <w:u w:val="single"/>
            <w:rtl w:val="0"/>
          </w:rPr>
          <w:t xml:space="preserve">https://doi.org/10.1177/0002764203256188</w:t>
        </w:r>
      </w:hyperlink>
      <w:r w:rsidDel="00000000" w:rsidR="00000000" w:rsidRPr="00000000">
        <w:rPr>
          <w:sz w:val="24"/>
          <w:szCs w:val="24"/>
          <w:rtl w:val="0"/>
        </w:rPr>
        <w:t xml:space="preserve">&gt;. Acesso em 10 de jul. 2026. </w:t>
      </w:r>
    </w:p>
    <w:p w:rsidR="00000000" w:rsidDel="00000000" w:rsidP="00000000" w:rsidRDefault="00000000" w:rsidRPr="00000000" w14:paraId="0000001C">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1D">
      <w:pPr>
        <w:keepLines w:val="1"/>
        <w:widowControl w:val="0"/>
        <w:spacing w:line="240" w:lineRule="auto"/>
        <w:rPr>
          <w:sz w:val="24"/>
          <w:szCs w:val="24"/>
        </w:rPr>
      </w:pPr>
      <w:r w:rsidDel="00000000" w:rsidR="00000000" w:rsidRPr="00000000">
        <w:rPr>
          <w:sz w:val="24"/>
          <w:szCs w:val="24"/>
          <w:rtl w:val="0"/>
        </w:rPr>
        <w:t xml:space="preserve">RAMOS, Alberto Guerreiro. </w:t>
      </w:r>
      <w:r w:rsidDel="00000000" w:rsidR="00000000" w:rsidRPr="00000000">
        <w:rPr>
          <w:b w:val="1"/>
          <w:bCs w:val="1"/>
          <w:sz w:val="24"/>
          <w:szCs w:val="24"/>
          <w:rtl w:val="0"/>
        </w:rPr>
        <w:t xml:space="preserve">Negro sou: </w:t>
      </w:r>
      <w:r w:rsidDel="00000000" w:rsidR="00000000" w:rsidRPr="00000000">
        <w:rPr>
          <w:sz w:val="24"/>
          <w:szCs w:val="24"/>
          <w:rtl w:val="0"/>
        </w:rPr>
        <w:t xml:space="preserve">a questão étnico-racial e o Brasil: ensaios, artigos e outros textos (1949–1973). Rio de Janeiro: Zahar, 2023. Ebook.</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200" w:line="240" w:lineRule="auto"/>
        <w:jc w:val="both"/>
        <w:rPr>
          <w:b w:val="1"/>
          <w:bCs w:val="1"/>
          <w:sz w:val="24"/>
          <w:szCs w:val="24"/>
        </w:rPr>
      </w:pPr>
      <w:r w:rsidDel="00000000" w:rsidR="00000000" w:rsidRPr="00000000">
        <w:rPr>
          <w:rtl w:val="0"/>
        </w:rPr>
      </w:r>
    </w:p>
    <w:sectPr>
      <w:headerReference r:id="rId10" w:type="default"/>
      <w:headerReference r:id="rId11" w:type="first"/>
      <w:footerReference r:id="rId12" w:type="default"/>
      <w:footerReference r:id="rId13"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jc w:val="right"/>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5000625</wp:posOffset>
          </wp:positionH>
          <wp:positionV relativeFrom="paragraph">
            <wp:posOffset>8886825</wp:posOffset>
          </wp:positionV>
          <wp:extent cx="1700213" cy="1700213"/>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700213" cy="1700213"/>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5791200</wp:posOffset>
          </wp:positionH>
          <wp:positionV relativeFrom="paragraph">
            <wp:posOffset>-304798</wp:posOffset>
          </wp:positionV>
          <wp:extent cx="664882" cy="762000"/>
          <wp:effectExtent b="0" l="0" r="0" t="0"/>
          <wp:wrapNone/>
          <wp:docPr id="2" name="image3.png"/>
          <a:graphic>
            <a:graphicData uri="http://schemas.openxmlformats.org/drawingml/2006/picture">
              <pic:pic>
                <pic:nvPicPr>
                  <pic:cNvPr id="0" name="image3.png"/>
                  <pic:cNvPicPr preferRelativeResize="0"/>
                </pic:nvPicPr>
                <pic:blipFill>
                  <a:blip r:embed="rId2"/>
                  <a:srcRect b="235" l="0" r="0" t="235"/>
                  <a:stretch>
                    <a:fillRect/>
                  </a:stretch>
                </pic:blipFill>
                <pic:spPr>
                  <a:xfrm>
                    <a:off x="0" y="0"/>
                    <a:ext cx="664882" cy="762000"/>
                  </a:xfrm>
                  <a:prstGeom prst="rect"/>
                  <a:ln/>
                </pic:spPr>
              </pic:pic>
            </a:graphicData>
          </a:graphic>
        </wp:anchor>
      </w:drawing>
    </w:r>
  </w:p>
  <w:p w:rsidR="00000000" w:rsidDel="00000000" w:rsidP="00000000" w:rsidRDefault="00000000" w:rsidRPr="00000000" w14:paraId="00000021">
    <w:pPr>
      <w:jc w:val="right"/>
      <w:rPr/>
    </w:pPr>
    <w:r w:rsidDel="00000000" w:rsidR="00000000" w:rsidRPr="00000000">
      <w:rPr>
        <w:rtl w:val="0"/>
      </w:rPr>
    </w:r>
  </w:p>
  <w:p w:rsidR="00000000" w:rsidDel="00000000" w:rsidP="00000000" w:rsidRDefault="00000000" w:rsidRPr="00000000" w14:paraId="00000022">
    <w:pPr>
      <w:jc w:val="right"/>
      <w:rPr/>
    </w:pPr>
    <w:r w:rsidDel="00000000" w:rsidR="00000000" w:rsidRPr="00000000">
      <w:rPr>
        <w:rtl w:val="0"/>
      </w:rPr>
    </w:r>
  </w:p>
  <w:p w:rsidR="00000000" w:rsidDel="00000000" w:rsidP="00000000" w:rsidRDefault="00000000" w:rsidRPr="00000000" w14:paraId="00000023">
    <w:pPr>
      <w:jc w:val="left"/>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-5713</wp:posOffset>
          </wp:positionV>
          <wp:extent cx="416339" cy="10716578"/>
          <wp:effectExtent b="0" l="0" r="0" t="0"/>
          <wp:wrapNone/>
          <wp:docPr id="3"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416339" cy="10716578"/>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177/0002764203256188"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sabrinamoreira@usp.br" TargetMode="External"/><Relationship Id="rId8" Type="http://schemas.openxmlformats.org/officeDocument/2006/relationships/hyperlink" Target="https://doi.org/10.11606/0103-2070.ts.2024.222555"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EdRcfIr3drqAF+HwL/ZCzsxVXQ==">CgMxLjA4AHIhMS1QaTNJc1RpVjZ2cXRmdC1yejNIbHJWQjItR0QwTy1R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