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75BC" w14:textId="78D38C23" w:rsidR="004A169C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</w:t>
      </w:r>
      <w:r w:rsidR="00047B40">
        <w:rPr>
          <w:b/>
          <w:bCs/>
          <w:sz w:val="24"/>
          <w:szCs w:val="24"/>
        </w:rPr>
        <w:t xml:space="preserve"> 7 - EDUCAÇÃO ANTIRRACISTA NA EDUCAÇÃO BÁSICA: EDUCANDO PARA AS RELAÇÕES ÉTNICO-RACIAIS</w:t>
      </w:r>
    </w:p>
    <w:p w14:paraId="7DB16C32" w14:textId="77777777" w:rsidR="004A169C" w:rsidRDefault="004A169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A90B892" w14:textId="77777777" w:rsidR="004A169C" w:rsidRDefault="004A169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D057D00" w14:textId="30AA9528" w:rsidR="004A169C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064A6">
        <w:rPr>
          <w:b/>
          <w:bCs/>
          <w:sz w:val="24"/>
          <w:szCs w:val="24"/>
        </w:rPr>
        <w:t>R</w:t>
      </w:r>
      <w:r w:rsidR="00C064A6" w:rsidRPr="002940F1">
        <w:rPr>
          <w:b/>
          <w:bCs/>
          <w:sz w:val="24"/>
          <w:szCs w:val="24"/>
        </w:rPr>
        <w:t xml:space="preserve">elações étnico-raciais no ensino de </w:t>
      </w:r>
      <w:r w:rsidR="00C064A6">
        <w:rPr>
          <w:b/>
          <w:bCs/>
          <w:sz w:val="24"/>
          <w:szCs w:val="24"/>
        </w:rPr>
        <w:t>G</w:t>
      </w:r>
      <w:r w:rsidR="00C064A6" w:rsidRPr="002940F1">
        <w:rPr>
          <w:b/>
          <w:bCs/>
          <w:sz w:val="24"/>
          <w:szCs w:val="24"/>
        </w:rPr>
        <w:t xml:space="preserve">eografia: uma experiência com o </w:t>
      </w:r>
      <w:r w:rsidR="00C064A6">
        <w:rPr>
          <w:b/>
          <w:bCs/>
          <w:sz w:val="24"/>
          <w:szCs w:val="24"/>
        </w:rPr>
        <w:t>A</w:t>
      </w:r>
      <w:r w:rsidR="00C064A6" w:rsidRPr="002940F1">
        <w:rPr>
          <w:b/>
          <w:bCs/>
          <w:sz w:val="24"/>
          <w:szCs w:val="24"/>
        </w:rPr>
        <w:t xml:space="preserve">lmanaque </w:t>
      </w:r>
      <w:r w:rsidR="00C064A6">
        <w:rPr>
          <w:b/>
          <w:bCs/>
          <w:sz w:val="24"/>
          <w:szCs w:val="24"/>
        </w:rPr>
        <w:t>A</w:t>
      </w:r>
      <w:r w:rsidR="00C064A6" w:rsidRPr="002940F1">
        <w:rPr>
          <w:b/>
          <w:bCs/>
          <w:sz w:val="24"/>
          <w:szCs w:val="24"/>
        </w:rPr>
        <w:t>fro-</w:t>
      </w:r>
      <w:r w:rsidR="00C064A6">
        <w:rPr>
          <w:b/>
          <w:bCs/>
          <w:sz w:val="24"/>
          <w:szCs w:val="24"/>
        </w:rPr>
        <w:t>G</w:t>
      </w:r>
      <w:r w:rsidR="00C064A6" w:rsidRPr="002940F1">
        <w:rPr>
          <w:b/>
          <w:bCs/>
          <w:sz w:val="24"/>
          <w:szCs w:val="24"/>
        </w:rPr>
        <w:t>eográfico</w:t>
      </w:r>
    </w:p>
    <w:p w14:paraId="0F333477" w14:textId="77777777" w:rsidR="004A169C" w:rsidRDefault="004A169C">
      <w:pPr>
        <w:keepLines/>
        <w:widowControl w:val="0"/>
        <w:spacing w:line="240" w:lineRule="auto"/>
        <w:rPr>
          <w:sz w:val="24"/>
          <w:szCs w:val="24"/>
        </w:rPr>
      </w:pPr>
    </w:p>
    <w:p w14:paraId="6078192F" w14:textId="6726BA18" w:rsidR="002940F1" w:rsidRDefault="002940F1" w:rsidP="002940F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C064A6">
        <w:rPr>
          <w:sz w:val="24"/>
          <w:szCs w:val="24"/>
        </w:rPr>
        <w:t xml:space="preserve">Marcia Augusta </w:t>
      </w:r>
      <w:r w:rsidRPr="00C064A6">
        <w:rPr>
          <w:sz w:val="24"/>
          <w:szCs w:val="24"/>
        </w:rPr>
        <w:t>dos Santos</w:t>
      </w:r>
      <w:r w:rsidR="00C064A6">
        <w:rPr>
          <w:sz w:val="24"/>
          <w:szCs w:val="24"/>
        </w:rPr>
        <w:t xml:space="preserve">, </w:t>
      </w:r>
      <w:r w:rsidRPr="002940F1">
        <w:rPr>
          <w:sz w:val="24"/>
          <w:szCs w:val="24"/>
        </w:rPr>
        <w:t xml:space="preserve">Instituto Federal de Brasília </w:t>
      </w:r>
      <w:r w:rsidR="00C064A6">
        <w:rPr>
          <w:sz w:val="24"/>
          <w:szCs w:val="24"/>
        </w:rPr>
        <w:t>–</w:t>
      </w:r>
      <w:r w:rsidRPr="002940F1">
        <w:rPr>
          <w:sz w:val="24"/>
          <w:szCs w:val="24"/>
        </w:rPr>
        <w:t xml:space="preserve"> IFB</w:t>
      </w:r>
      <w:r w:rsidR="00C064A6">
        <w:rPr>
          <w:sz w:val="24"/>
          <w:szCs w:val="24"/>
        </w:rPr>
        <w:t>, profmarciaaugusta@gmail.com</w:t>
      </w:r>
    </w:p>
    <w:p w14:paraId="04617634" w14:textId="77777777" w:rsidR="004A169C" w:rsidRDefault="004A169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A005A45" w14:textId="77777777" w:rsidR="004A169C" w:rsidRPr="00EC3023" w:rsidRDefault="00000000" w:rsidP="00EC3023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EC3023">
        <w:rPr>
          <w:b/>
          <w:bCs/>
          <w:sz w:val="24"/>
          <w:szCs w:val="24"/>
        </w:rPr>
        <w:t>RESUMO</w:t>
      </w:r>
    </w:p>
    <w:p w14:paraId="0EB48989" w14:textId="66C04F29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Este resumo expandido apresenta os resultados de uma pesquisa desenvolvida no Mestrado Profissional em Geografia (PROFGEO/IFB), que culminou na criação e teste do "Almanaque Afro-Geográfico" como produto educacional. O objetivo central foi observar a percepção de estudantes do 5º ano do Ensino Fundamental sobre o continente africano e a cultura afro-brasileira, utilizando o ensino de Geografia crítica para desconstruir estereótipos eurocêntricos. A metodologia, de cunho fenomenológico, envolveu um relato de experiência em sete encontros em uma escola pública de </w:t>
      </w:r>
      <w:r>
        <w:rPr>
          <w:sz w:val="24"/>
          <w:szCs w:val="24"/>
        </w:rPr>
        <w:t>Planaltina-DF</w:t>
      </w:r>
      <w:r w:rsidRPr="00EC3023">
        <w:rPr>
          <w:sz w:val="24"/>
          <w:szCs w:val="24"/>
        </w:rPr>
        <w:t>. Os resultados demonstraram que a utilização de materiais didáticos multimodais e dialógicos é eficaz para promover a autoconsciência racial e a valorização das matrizes africanas, contribuindo para a implementação efetiva da Lei 10.639/03 no cotidiano escolar.</w:t>
      </w:r>
    </w:p>
    <w:p w14:paraId="13A55FDC" w14:textId="4EB84820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 w:rsidRPr="00EC3023">
        <w:rPr>
          <w:sz w:val="24"/>
          <w:szCs w:val="24"/>
        </w:rPr>
        <w:t xml:space="preserve">trabalho fundamenta-se na necessidade urgente de romper com o modelo tradicional de ensino brasileiro, historicamente forjado sob bases eurocêntricas que marginalizam as contribuições africanas </w:t>
      </w:r>
      <w:r>
        <w:rPr>
          <w:sz w:val="24"/>
          <w:szCs w:val="24"/>
        </w:rPr>
        <w:t>n</w:t>
      </w:r>
      <w:r w:rsidRPr="00EC3023">
        <w:rPr>
          <w:sz w:val="24"/>
          <w:szCs w:val="24"/>
        </w:rPr>
        <w:t>a formação da sociedade. Amparada pela Lei 10.639/03, a pesquisa investiga como o componente curricular de Geografia pode atuar na (</w:t>
      </w:r>
      <w:proofErr w:type="spellStart"/>
      <w:r w:rsidRPr="00EC3023">
        <w:rPr>
          <w:sz w:val="24"/>
          <w:szCs w:val="24"/>
        </w:rPr>
        <w:t>des</w:t>
      </w:r>
      <w:proofErr w:type="spellEnd"/>
      <w:r w:rsidRPr="00EC3023">
        <w:rPr>
          <w:sz w:val="24"/>
          <w:szCs w:val="24"/>
        </w:rPr>
        <w:t>)construção de estereótipos negativos e no combate às "ausências" e lacunas temáticas que ainda persistem no imaginário escolar. A problemática central reside na negligência com a profundidade da discussão étnico-racial em sala de aula, o que muitas vezes reduz a história da população negra à escravidão, ignorando civilizações complexas e saberes ancestrais.</w:t>
      </w:r>
    </w:p>
    <w:p w14:paraId="263DFA2B" w14:textId="77777777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A análise articula conceitos fundamentais da ciência geográfica sob uma perspectiva </w:t>
      </w:r>
      <w:proofErr w:type="spellStart"/>
      <w:r w:rsidRPr="00EC3023">
        <w:rPr>
          <w:sz w:val="24"/>
          <w:szCs w:val="24"/>
        </w:rPr>
        <w:t>racializada</w:t>
      </w:r>
      <w:proofErr w:type="spellEnd"/>
      <w:r w:rsidRPr="00EC3023">
        <w:rPr>
          <w:sz w:val="24"/>
          <w:szCs w:val="24"/>
        </w:rPr>
        <w:t xml:space="preserve">. Utiliza-se a noção de espaço geográfico de Milton Santos, entendido como um conjunto indissociável de sistemas de objetos e sistemas de ações onde a história acontece de forma densamente social. O conceito de formação socioespacial </w:t>
      </w:r>
      <w:r w:rsidRPr="00EC3023">
        <w:rPr>
          <w:sz w:val="24"/>
          <w:szCs w:val="24"/>
        </w:rPr>
        <w:lastRenderedPageBreak/>
        <w:t>permite compreender as especificidades culturais e políticas dos territórios ocupados pela população negra no Brasil, como favelas e bairros periféricos, que são reflexos de uma organização espacial injusta e heterônoma.</w:t>
      </w:r>
    </w:p>
    <w:p w14:paraId="32B316F1" w14:textId="77777777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A categoria de lugar é central nesta experiência, sendo definida como o espaço vivido e apropriado pela experiência humana. Para os estudantes, o lugar é o ponto de partida para o desenvolvimento de identidades socioespaciais; trabalhar esse conceito de forma </w:t>
      </w:r>
      <w:proofErr w:type="spellStart"/>
      <w:r w:rsidRPr="00EC3023">
        <w:rPr>
          <w:sz w:val="24"/>
          <w:szCs w:val="24"/>
        </w:rPr>
        <w:t>racializada</w:t>
      </w:r>
      <w:proofErr w:type="spellEnd"/>
      <w:r w:rsidRPr="00EC3023">
        <w:rPr>
          <w:sz w:val="24"/>
          <w:szCs w:val="24"/>
        </w:rPr>
        <w:t xml:space="preserve"> permite que o aluno perceba as desigualdades em seu cotidiano e desenvolva um sentimento de pertencimento e cidadania. Complementarmente, o território é abordado como um espaço definido por relações de poder, onde a Lei 10.639/03 figura como um território conquistado dentro de uma escola em disputa.</w:t>
      </w:r>
    </w:p>
    <w:p w14:paraId="3052D009" w14:textId="77777777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O Almanaque foi desenvolvido como um material paradidático versátil, que não exige leitura sequencial e atinge diversos perfis de leitores. Sua estrutura é dividida em cinco seções principais:</w:t>
      </w:r>
    </w:p>
    <w:p w14:paraId="7403BD43" w14:textId="77777777" w:rsidR="00EC3023" w:rsidRPr="00EC3023" w:rsidRDefault="00EC3023" w:rsidP="00EC3023">
      <w:pPr>
        <w:numPr>
          <w:ilvl w:val="0"/>
          <w:numId w:val="3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Localize: Uso de cartografia para identificar regiões históricas africanas.</w:t>
      </w:r>
    </w:p>
    <w:p w14:paraId="4E80A4EE" w14:textId="77777777" w:rsidR="00EC3023" w:rsidRPr="00EC3023" w:rsidRDefault="00EC3023" w:rsidP="00EC3023">
      <w:pPr>
        <w:numPr>
          <w:ilvl w:val="0"/>
          <w:numId w:val="3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Você Sabia: Curiosidades e fatos históricos sobre o protagonismo negro.</w:t>
      </w:r>
    </w:p>
    <w:p w14:paraId="38442663" w14:textId="77777777" w:rsidR="00EC3023" w:rsidRPr="00EC3023" w:rsidRDefault="00EC3023" w:rsidP="00EC3023">
      <w:pPr>
        <w:numPr>
          <w:ilvl w:val="0"/>
          <w:numId w:val="3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Segredos dos Griots: Contos ancestrais valorizando a oralidade e sabedoria tradicional.</w:t>
      </w:r>
    </w:p>
    <w:p w14:paraId="29817B55" w14:textId="77777777" w:rsidR="00EC3023" w:rsidRPr="00EC3023" w:rsidRDefault="00EC3023" w:rsidP="00EC3023">
      <w:pPr>
        <w:numPr>
          <w:ilvl w:val="0"/>
          <w:numId w:val="3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Delícias da África: Culinária africana incorporada ao Brasil.</w:t>
      </w:r>
    </w:p>
    <w:p w14:paraId="67653DC6" w14:textId="77777777" w:rsidR="00EC3023" w:rsidRPr="00EC3023" w:rsidRDefault="00EC3023" w:rsidP="00EC3023">
      <w:pPr>
        <w:numPr>
          <w:ilvl w:val="0"/>
          <w:numId w:val="3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Brinquedos e Brincadeiras: Lúdico africano como ferramenta de integração.</w:t>
      </w:r>
    </w:p>
    <w:p w14:paraId="0916D937" w14:textId="77777777" w:rsidR="00152ED4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A proposta visa oferecer ao professor um suporte pedagógico que auxilie na construção de uma autoimagem positiva para crianças negras e na formação humana de estudantes não-negros.</w:t>
      </w:r>
    </w:p>
    <w:p w14:paraId="32AE22B4" w14:textId="50B3497B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A intervenção pedagógica ocorreu em sete encontros de 1h30 cada, com 23 alunos de uma escola pública no Distrito Federal. Adotou-se uma metodologia qualitativa baseada na escuta ativa e na produção criativa.</w:t>
      </w:r>
    </w:p>
    <w:p w14:paraId="5D7614CD" w14:textId="77777777" w:rsidR="00EC3023" w:rsidRPr="00EC3023" w:rsidRDefault="00EC3023" w:rsidP="00EC3023">
      <w:pPr>
        <w:numPr>
          <w:ilvl w:val="0"/>
          <w:numId w:val="4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Diagnóstico inicial: No 1º encontro, uma nuvem de palavras revelou que o repertório das crianças sobre a África era dominado por "pobreza", "doenças" </w:t>
      </w:r>
      <w:r w:rsidRPr="00EC3023">
        <w:rPr>
          <w:sz w:val="24"/>
          <w:szCs w:val="24"/>
        </w:rPr>
        <w:lastRenderedPageBreak/>
        <w:t>e "animais selvagens". A atividade de autorretrato indicou dificuldades de autorreconhecimento em alunos pardos e negros, demonstrando a falta de representatividade.</w:t>
      </w:r>
    </w:p>
    <w:p w14:paraId="1608EC45" w14:textId="77777777" w:rsidR="00EC3023" w:rsidRPr="00EC3023" w:rsidRDefault="00EC3023" w:rsidP="00EC3023">
      <w:pPr>
        <w:numPr>
          <w:ilvl w:val="0"/>
          <w:numId w:val="4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Desconstrução de Estereótipos: No 2º e 3º encontros, foram trabalhados mapas urbanos de cidades africanas modernas. Os alunos ficaram surpresos ao descobrir que o continente possui grandes centros urbanos e que a história africana precede em milênios o processo de escravização europeu.</w:t>
      </w:r>
    </w:p>
    <w:p w14:paraId="6F5CC6D7" w14:textId="77777777" w:rsidR="00EC3023" w:rsidRPr="00EC3023" w:rsidRDefault="00EC3023" w:rsidP="00EC3023">
      <w:pPr>
        <w:numPr>
          <w:ilvl w:val="0"/>
          <w:numId w:val="4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Resistência e Protagonismo: Os encontros subsequentes focaram na história dos Quilombos e em líderes como Zumbi e </w:t>
      </w:r>
      <w:proofErr w:type="spellStart"/>
      <w:r w:rsidRPr="00EC3023">
        <w:rPr>
          <w:sz w:val="24"/>
          <w:szCs w:val="24"/>
        </w:rPr>
        <w:t>Aqualtune</w:t>
      </w:r>
      <w:proofErr w:type="spellEnd"/>
      <w:r w:rsidRPr="00EC3023">
        <w:rPr>
          <w:sz w:val="24"/>
          <w:szCs w:val="24"/>
        </w:rPr>
        <w:t>. O debate sobre "expressões racistas" do cotidiano permitiu que os alunos revisassem o uso de termos depreciativos.</w:t>
      </w:r>
    </w:p>
    <w:p w14:paraId="554513A6" w14:textId="77777777" w:rsidR="00EC3023" w:rsidRPr="00EC3023" w:rsidRDefault="00EC3023" w:rsidP="00EC3023">
      <w:pPr>
        <w:numPr>
          <w:ilvl w:val="0"/>
          <w:numId w:val="4"/>
        </w:num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 xml:space="preserve">Experiência Sensorial: O projeto encerrou-se com a prática de brincadeiras tradicionais (como </w:t>
      </w:r>
      <w:proofErr w:type="spellStart"/>
      <w:r w:rsidRPr="00EC3023">
        <w:rPr>
          <w:sz w:val="24"/>
          <w:szCs w:val="24"/>
        </w:rPr>
        <w:t>Teca-teca</w:t>
      </w:r>
      <w:proofErr w:type="spellEnd"/>
      <w:r w:rsidRPr="00EC3023">
        <w:rPr>
          <w:sz w:val="24"/>
          <w:szCs w:val="24"/>
        </w:rPr>
        <w:t xml:space="preserve"> e Terra-Mar) e a degustação de acarajé e cocada, conectando o saber geográfico ao afeto e à memória gustativa.</w:t>
      </w:r>
    </w:p>
    <w:p w14:paraId="33E1B4DE" w14:textId="77777777" w:rsidR="00EC3023" w:rsidRP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A avaliação foi feita por meio de "diários de bordo" dos alunos e entrevista com a professora regente. Os estudantes manifestaram entusiasmo, destacando que aprenderam "nomes novos de pessoas importantes" e que a África "não é só bicho". A professora regente enfatizou que os mapas e imagens foram essenciais para dinamizar a aula e facilitar a compreensão de temas complexos, confirmando a acessibilidade da linguagem do material. Observou-se uma mudança significativa no posicionamento dos sujeitos: de uma visão de piedade e exterioridade para uma postura de valorização e autoconsciência crítica.</w:t>
      </w:r>
    </w:p>
    <w:p w14:paraId="7DB983B7" w14:textId="77777777" w:rsidR="00EC3023" w:rsidRDefault="00EC3023" w:rsidP="00EC3023">
      <w:pPr>
        <w:spacing w:after="200" w:line="360" w:lineRule="auto"/>
        <w:jc w:val="both"/>
        <w:rPr>
          <w:sz w:val="24"/>
          <w:szCs w:val="24"/>
        </w:rPr>
      </w:pPr>
      <w:r w:rsidRPr="00EC3023">
        <w:rPr>
          <w:sz w:val="24"/>
          <w:szCs w:val="24"/>
        </w:rPr>
        <w:t>A experiência com o Almanaque Afro-Geográfico demonstrou que a educação antirracista não deve ser restrita ao mês de novembro, mas sim integrada ao planejamento anual. O potencial do material reside em sua capacidade de despertar curiosidade e afeto, permitindo que a Geografia escolar cumpra sua responsabilidade de (</w:t>
      </w:r>
      <w:proofErr w:type="spellStart"/>
      <w:r w:rsidRPr="00EC3023">
        <w:rPr>
          <w:sz w:val="24"/>
          <w:szCs w:val="24"/>
        </w:rPr>
        <w:t>des</w:t>
      </w:r>
      <w:proofErr w:type="spellEnd"/>
      <w:r w:rsidRPr="00EC3023">
        <w:rPr>
          <w:sz w:val="24"/>
          <w:szCs w:val="24"/>
        </w:rPr>
        <w:t>)construir o racismo estrutural. Conclui-se que o letramento racial, aliado a categorias geográficas de lugar e território, fornece os instrumentos necessários para que os estudantes se tornem sujeitos ativos na construção de uma sociedade que respeita a diversidade.</w:t>
      </w:r>
    </w:p>
    <w:p w14:paraId="7E7AD6C3" w14:textId="498DE283" w:rsidR="00152ED4" w:rsidRDefault="00EC3023" w:rsidP="00152ED4">
      <w:pPr>
        <w:spacing w:after="200" w:line="240" w:lineRule="auto"/>
        <w:jc w:val="both"/>
      </w:pPr>
      <w:r w:rsidRPr="00EC3023">
        <w:rPr>
          <w:b/>
          <w:bCs/>
        </w:rPr>
        <w:lastRenderedPageBreak/>
        <w:t>PALAVRAS-CHAVE:</w:t>
      </w:r>
      <w:r w:rsidRPr="00EC3023">
        <w:t xml:space="preserve"> ensino de Geografia; Almanaque Afro-Geográfico; racismo; cultura afrodescendente; educação antirracista.</w:t>
      </w:r>
    </w:p>
    <w:p w14:paraId="096CDC95" w14:textId="77777777" w:rsidR="00047B40" w:rsidRDefault="00047B40" w:rsidP="00152ED4">
      <w:pPr>
        <w:spacing w:after="200" w:line="240" w:lineRule="auto"/>
        <w:jc w:val="both"/>
      </w:pPr>
    </w:p>
    <w:p w14:paraId="7BE8C619" w14:textId="77777777" w:rsidR="00047B40" w:rsidRDefault="00EC3023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EC3023">
        <w:rPr>
          <w:b/>
          <w:bCs/>
          <w:sz w:val="24"/>
          <w:szCs w:val="24"/>
        </w:rPr>
        <w:t xml:space="preserve">REFERÊNCIAS </w:t>
      </w:r>
    </w:p>
    <w:p w14:paraId="72691A3F" w14:textId="77777777" w:rsid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BRASIL. </w:t>
      </w:r>
      <w:r w:rsidRPr="00047B40">
        <w:rPr>
          <w:b/>
          <w:bCs/>
          <w:sz w:val="24"/>
          <w:szCs w:val="24"/>
        </w:rPr>
        <w:t>Lei nº 10.639, de 9 de janeiro de 2003</w:t>
      </w:r>
      <w:r w:rsidRPr="00047B40">
        <w:rPr>
          <w:sz w:val="24"/>
          <w:szCs w:val="24"/>
        </w:rPr>
        <w:t>. Altera a Lei nº 9.394, de 20 de dezembro de 1996, que estabelece as diretrizes e bases da educação nacional, para incluir no currículo oficial da Rede de Ensino a obrigatoriedade da temática "História e Cultura Afro-Brasileira", e dá outras providências. Disponível em: http://www.planalto.gov.br/ccivil_03/leis/2003/L10.639.htm. Acesso em: 23 out. 2022.</w:t>
      </w:r>
    </w:p>
    <w:p w14:paraId="3C367AB3" w14:textId="77777777" w:rsid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CALLAI, Helena </w:t>
      </w:r>
      <w:proofErr w:type="spellStart"/>
      <w:r w:rsidRPr="00047B40">
        <w:rPr>
          <w:sz w:val="24"/>
          <w:szCs w:val="24"/>
        </w:rPr>
        <w:t>Copetti</w:t>
      </w:r>
      <w:proofErr w:type="spellEnd"/>
      <w:r w:rsidRPr="00047B40">
        <w:rPr>
          <w:sz w:val="24"/>
          <w:szCs w:val="24"/>
        </w:rPr>
        <w:t xml:space="preserve">. Aprendendo a ler o mundo: a geografia nos anos iniciais do ensino fundamental. </w:t>
      </w:r>
      <w:r w:rsidRPr="00047B40">
        <w:rPr>
          <w:b/>
          <w:bCs/>
          <w:sz w:val="24"/>
          <w:szCs w:val="24"/>
        </w:rPr>
        <w:t>Cadernos CEDES</w:t>
      </w:r>
      <w:r w:rsidRPr="00047B40">
        <w:rPr>
          <w:sz w:val="24"/>
          <w:szCs w:val="24"/>
        </w:rPr>
        <w:t>, Campinas, v. 25, n. 66, maio/ago. 2005. Disponível em: http://www.scielo.br/pdf/ccedes/v25n66/a06v2566.pdf. Acesso em: 23 out. 2023.</w:t>
      </w:r>
    </w:p>
    <w:p w14:paraId="0F00E7AC" w14:textId="77777777" w:rsid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OLIVEIRA, Luís Roberto Cardoso de. Por uma Geografia da África: elementos para uma educação étnico-racial. </w:t>
      </w:r>
      <w:r w:rsidRPr="00047B40">
        <w:rPr>
          <w:i/>
          <w:iCs/>
          <w:sz w:val="24"/>
          <w:szCs w:val="24"/>
        </w:rPr>
        <w:t>In</w:t>
      </w:r>
      <w:r w:rsidRPr="00047B40">
        <w:rPr>
          <w:sz w:val="24"/>
          <w:szCs w:val="24"/>
        </w:rPr>
        <w:t xml:space="preserve">: ENCONTRO DE GEÓGRAFOS DA AMÉRICA LATINA, 12., 2009, Montevidéu. </w:t>
      </w:r>
      <w:r w:rsidRPr="00047B40">
        <w:rPr>
          <w:b/>
          <w:bCs/>
          <w:sz w:val="24"/>
          <w:szCs w:val="24"/>
        </w:rPr>
        <w:t>Anais</w:t>
      </w:r>
      <w:r w:rsidRPr="00047B40">
        <w:rPr>
          <w:sz w:val="24"/>
          <w:szCs w:val="24"/>
        </w:rPr>
        <w:t xml:space="preserve"> [...]. Montevidéu: EGAL, 2009. p. 1-14. Disponível em: http://docplayer.com.br/23249427-Por-uma-geografia-da-africa-elementos-para-umaeducacao-etnico-racial-1-rafael-cicero-oliveira-2.html. Acesso em: 19 set. 2023.</w:t>
      </w:r>
    </w:p>
    <w:p w14:paraId="2DE5657D" w14:textId="77777777" w:rsid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SANTOS, Milton. </w:t>
      </w:r>
      <w:r w:rsidRPr="00047B40">
        <w:rPr>
          <w:b/>
          <w:bCs/>
          <w:sz w:val="24"/>
          <w:szCs w:val="24"/>
        </w:rPr>
        <w:t>A natureza do espaço</w:t>
      </w:r>
      <w:r w:rsidRPr="00047B40">
        <w:rPr>
          <w:sz w:val="24"/>
          <w:szCs w:val="24"/>
        </w:rPr>
        <w:t>: técnica e tempo, razão e emoção. 4. ed. São Paulo: Editora da Universidade de São Paulo, 2006.</w:t>
      </w:r>
    </w:p>
    <w:p w14:paraId="7F551F1B" w14:textId="77777777" w:rsid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SOUZA, Marcelo Lopes. </w:t>
      </w:r>
      <w:r w:rsidRPr="00047B40">
        <w:rPr>
          <w:b/>
          <w:bCs/>
          <w:sz w:val="24"/>
          <w:szCs w:val="24"/>
        </w:rPr>
        <w:t xml:space="preserve">Os conceitos fundamentais na pesquisa </w:t>
      </w:r>
      <w:proofErr w:type="spellStart"/>
      <w:r w:rsidRPr="00047B40">
        <w:rPr>
          <w:b/>
          <w:bCs/>
          <w:sz w:val="24"/>
          <w:szCs w:val="24"/>
        </w:rPr>
        <w:t>sócio-espacial</w:t>
      </w:r>
      <w:proofErr w:type="spellEnd"/>
      <w:r w:rsidRPr="00047B40">
        <w:rPr>
          <w:sz w:val="24"/>
          <w:szCs w:val="24"/>
        </w:rPr>
        <w:t>. Rio de Janeiro: Consequência, 2013.</w:t>
      </w:r>
    </w:p>
    <w:p w14:paraId="2D561D9B" w14:textId="7F974CFC" w:rsidR="00047B40" w:rsidRPr="00047B40" w:rsidRDefault="00047B40" w:rsidP="00047B40">
      <w:pPr>
        <w:tabs>
          <w:tab w:val="num" w:pos="720"/>
        </w:tabs>
        <w:spacing w:after="200" w:line="360" w:lineRule="auto"/>
        <w:jc w:val="both"/>
        <w:rPr>
          <w:b/>
          <w:bCs/>
          <w:sz w:val="24"/>
          <w:szCs w:val="24"/>
        </w:rPr>
      </w:pPr>
      <w:r w:rsidRPr="00047B40">
        <w:rPr>
          <w:sz w:val="24"/>
          <w:szCs w:val="24"/>
        </w:rPr>
        <w:t xml:space="preserve">TUAN, Yi-Fu. </w:t>
      </w:r>
      <w:r w:rsidRPr="00047B40">
        <w:rPr>
          <w:b/>
          <w:bCs/>
          <w:sz w:val="24"/>
          <w:szCs w:val="24"/>
        </w:rPr>
        <w:t>Espaço e lugar</w:t>
      </w:r>
      <w:r w:rsidRPr="00047B40">
        <w:rPr>
          <w:sz w:val="24"/>
          <w:szCs w:val="24"/>
        </w:rPr>
        <w:t>: a perspectiva da experiência. São Paulo: DIFEL, 1983</w:t>
      </w:r>
      <w:r>
        <w:rPr>
          <w:sz w:val="24"/>
          <w:szCs w:val="24"/>
        </w:rPr>
        <w:t>.</w:t>
      </w:r>
    </w:p>
    <w:p w14:paraId="275CB383" w14:textId="77777777" w:rsidR="004A169C" w:rsidRPr="00EC3023" w:rsidRDefault="004A169C" w:rsidP="00047B40">
      <w:pPr>
        <w:tabs>
          <w:tab w:val="num" w:pos="720"/>
        </w:tabs>
        <w:spacing w:after="200" w:line="360" w:lineRule="auto"/>
        <w:jc w:val="both"/>
        <w:rPr>
          <w:sz w:val="24"/>
          <w:szCs w:val="24"/>
        </w:rPr>
      </w:pPr>
    </w:p>
    <w:sectPr w:rsidR="004A169C" w:rsidRPr="00EC3023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754B4" w14:textId="77777777" w:rsidR="00E468DC" w:rsidRDefault="00E468DC">
      <w:pPr>
        <w:spacing w:line="240" w:lineRule="auto"/>
      </w:pPr>
      <w:r>
        <w:separator/>
      </w:r>
    </w:p>
  </w:endnote>
  <w:endnote w:type="continuationSeparator" w:id="0">
    <w:p w14:paraId="7C13A884" w14:textId="77777777" w:rsidR="00E468DC" w:rsidRDefault="00E46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C79FB7-B193-4259-96B8-BCD0483B2D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00384B-E72A-4C55-90E5-EF22D3CB7E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6E792" w14:textId="77777777" w:rsidR="004A169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940F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263BC" w14:textId="77777777" w:rsidR="004A169C" w:rsidRDefault="004A169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11BC2" w14:textId="77777777" w:rsidR="00E468DC" w:rsidRDefault="00E468DC">
      <w:pPr>
        <w:spacing w:line="240" w:lineRule="auto"/>
      </w:pPr>
      <w:r>
        <w:separator/>
      </w:r>
    </w:p>
  </w:footnote>
  <w:footnote w:type="continuationSeparator" w:id="0">
    <w:p w14:paraId="7C854788" w14:textId="77777777" w:rsidR="00E468DC" w:rsidRDefault="00E468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F5396" w14:textId="77777777" w:rsidR="004A169C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832AA2E" wp14:editId="5AB78E3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ED69B5B" wp14:editId="1A12DCA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266109" w14:textId="77777777" w:rsidR="004A169C" w:rsidRDefault="004A169C">
    <w:pPr>
      <w:jc w:val="right"/>
    </w:pPr>
  </w:p>
  <w:p w14:paraId="37654AF2" w14:textId="77777777" w:rsidR="004A169C" w:rsidRDefault="004A169C">
    <w:pPr>
      <w:jc w:val="right"/>
    </w:pPr>
  </w:p>
  <w:p w14:paraId="43F8F3FD" w14:textId="77777777" w:rsidR="004A169C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0A8EB42" wp14:editId="4B5619F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FAD69" w14:textId="77777777" w:rsidR="004A169C" w:rsidRDefault="004A16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61C5F"/>
    <w:multiLevelType w:val="multilevel"/>
    <w:tmpl w:val="643A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B193A"/>
    <w:multiLevelType w:val="multilevel"/>
    <w:tmpl w:val="EAE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23F7"/>
    <w:multiLevelType w:val="multilevel"/>
    <w:tmpl w:val="03C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5A1D"/>
    <w:multiLevelType w:val="multilevel"/>
    <w:tmpl w:val="B00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1209F"/>
    <w:multiLevelType w:val="multilevel"/>
    <w:tmpl w:val="5138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07232"/>
    <w:multiLevelType w:val="multilevel"/>
    <w:tmpl w:val="711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06636">
    <w:abstractNumId w:val="4"/>
  </w:num>
  <w:num w:numId="2" w16cid:durableId="1201161812">
    <w:abstractNumId w:val="2"/>
  </w:num>
  <w:num w:numId="3" w16cid:durableId="1837837792">
    <w:abstractNumId w:val="0"/>
  </w:num>
  <w:num w:numId="4" w16cid:durableId="1528565157">
    <w:abstractNumId w:val="5"/>
  </w:num>
  <w:num w:numId="5" w16cid:durableId="1288271559">
    <w:abstractNumId w:val="3"/>
  </w:num>
  <w:num w:numId="6" w16cid:durableId="1139373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69C"/>
    <w:rsid w:val="00047B40"/>
    <w:rsid w:val="00152ED4"/>
    <w:rsid w:val="002940F1"/>
    <w:rsid w:val="003A5F86"/>
    <w:rsid w:val="004A169C"/>
    <w:rsid w:val="00632244"/>
    <w:rsid w:val="00C064A6"/>
    <w:rsid w:val="00E468DC"/>
    <w:rsid w:val="00E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C220"/>
  <w15:docId w15:val="{6F7D5E13-4BC4-41AD-BD83-D65712AC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63657-96BA-4986-AC81-701391A2E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1199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Marcia</cp:lastModifiedBy>
  <cp:revision>2</cp:revision>
  <dcterms:created xsi:type="dcterms:W3CDTF">2026-07-17T21:44:00Z</dcterms:created>
  <dcterms:modified xsi:type="dcterms:W3CDTF">2026-07-17T23:04:00Z</dcterms:modified>
</cp:coreProperties>
</file>