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4479" w14:textId="359E34EA" w:rsidR="0040764A" w:rsidRDefault="0040764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40764A">
        <w:rPr>
          <w:b/>
          <w:bCs/>
          <w:sz w:val="24"/>
          <w:szCs w:val="24"/>
        </w:rPr>
        <w:t>ENCONTRO DE SABERES: DIÁLOGOS INTERCULTURAIS E INTEREPISTÊMICOS ENTRE A ACADEMIA E OS POVOS E COMUNIDADES TRADICIONAIS</w:t>
      </w:r>
    </w:p>
    <w:p w14:paraId="4A060B57" w14:textId="77777777" w:rsidR="0040764A" w:rsidRDefault="0040764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52532F05" w14:textId="77777777" w:rsidR="00606A73" w:rsidRDefault="00606A7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1915F92" w14:textId="77777777" w:rsidR="0040764A" w:rsidRDefault="0040764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A7EB891" w14:textId="6ADD481B" w:rsidR="0040764A" w:rsidRPr="0040764A" w:rsidRDefault="0040764A" w:rsidP="0040764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 w:rsidRPr="0040764A">
        <w:rPr>
          <w:b/>
          <w:color w:val="000000"/>
          <w:sz w:val="24"/>
          <w:szCs w:val="24"/>
        </w:rPr>
        <w:t>Formar-se em comunidade como ato de transgressão: um estudo (auto)etnográfico sobre ensino de línguas, letramentos e (socio)linguística</w:t>
      </w:r>
    </w:p>
    <w:p w14:paraId="167890F6" w14:textId="77777777" w:rsidR="00606A73" w:rsidRDefault="00606A73">
      <w:pPr>
        <w:keepLines/>
        <w:widowControl w:val="0"/>
        <w:spacing w:line="240" w:lineRule="auto"/>
        <w:rPr>
          <w:sz w:val="24"/>
          <w:szCs w:val="24"/>
        </w:rPr>
      </w:pPr>
    </w:p>
    <w:p w14:paraId="2A5DEBEF" w14:textId="77777777" w:rsidR="00606A73" w:rsidRDefault="00606A7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130E467" w14:textId="7D1644EF" w:rsidR="00606A73" w:rsidRDefault="00F010D2" w:rsidP="00F010D2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F010D2">
        <w:rPr>
          <w:sz w:val="24"/>
          <w:szCs w:val="24"/>
        </w:rPr>
        <w:t>Josiane Prescendo Tonin, SEEDF, josiprescendo@gmail.com</w:t>
      </w:r>
    </w:p>
    <w:p w14:paraId="3BB71743" w14:textId="77777777" w:rsidR="00606A73" w:rsidRDefault="00606A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A0448FE" w14:textId="77777777" w:rsidR="00606A73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3619D8B5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t>O presente trabalho tem como objetivo apresentar uma pesquisa (auto)etnográfica (Allen-</w:t>
      </w:r>
      <w:proofErr w:type="spellStart"/>
      <w:r w:rsidRPr="005C5A0C">
        <w:rPr>
          <w:sz w:val="24"/>
          <w:szCs w:val="24"/>
        </w:rPr>
        <w:t>Collinson</w:t>
      </w:r>
      <w:proofErr w:type="spellEnd"/>
      <w:r w:rsidRPr="005C5A0C">
        <w:rPr>
          <w:sz w:val="24"/>
          <w:szCs w:val="24"/>
        </w:rPr>
        <w:t>, 2016) que investiga as práticas sociolinguísticas, a variação linguística (</w:t>
      </w:r>
      <w:proofErr w:type="spellStart"/>
      <w:r w:rsidRPr="005C5A0C">
        <w:rPr>
          <w:sz w:val="24"/>
          <w:szCs w:val="24"/>
        </w:rPr>
        <w:t>Bortoni</w:t>
      </w:r>
      <w:proofErr w:type="spellEnd"/>
      <w:r w:rsidRPr="005C5A0C">
        <w:rPr>
          <w:sz w:val="24"/>
          <w:szCs w:val="24"/>
        </w:rPr>
        <w:t>-Ricardo, 2014) e os letramentos (Street, 2014) que constituem a práxis de dois docentes da educação básica atuantes em comunidades tradicionais brasileiras. Além de examinar suas estratégias e metodologias de ensino, busco compreender como se estabelece a relação desses professores com o território ao qual pertencem. Parto do entendimento de que as formas próprias de organização social dessas comunidades, que ocupam e utilizam seus territórios e recursos naturais como condição para sua reprodução cultural, social e religiosa (Brasil, 2007), conferem características singulares às práticas pedagógicas desenvolvidas por esses profissionais.</w:t>
      </w:r>
    </w:p>
    <w:p w14:paraId="189B7AF6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t>A atuação desses docentes extrapola os limites da escola. Além de professores, eles desempenham papéis de lideranças comunitárias e ativistas, mobilizando ações voltadas à educação dos moradores de suas comunidades. Cada um, a seu modo, fomenta políticas públicas e iniciativas que contribuem para o fortalecimento do ensino de línguas em seus territórios, assumindo protagonismo nos processos de transformação social. Em suas práticas pedagógicas, apresentam aos estudantes múltiplas práticas de letramento, distanciando-se de perspectivas que privilegiam exclusivamente a variedade padrão da língua e reforçam o mito da existência de uma única forma legítima de falar e escrever (Street, 2014). Ao contrário, reconhecem e valorizam a diversidade linguística, contribuindo para o enfrentamento do estigma historicamente atribuído às variedades não prestigiadas.</w:t>
      </w:r>
    </w:p>
    <w:p w14:paraId="1FC8F5BA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lastRenderedPageBreak/>
        <w:t xml:space="preserve">A relevância de investigar a práxis desses professores torna-se ainda mais evidente quando compreendemos a escola e a universidade como instituições que, durante séculos, contribuíram para a manutenção de discursos coloniais. Historicamente, esses espaços foram mobilizados para difundir e legitimar os saberes, valores e práticas culturais oriundos dos países do Norte Global. É importante esclarecer que, neste trabalho, o Norte Global não é compreendido como uma categoria meramente geográfica, mas como uma construção epistemológica. Conforme afirmam Andreotti </w:t>
      </w:r>
      <w:r w:rsidRPr="005C5A0C">
        <w:rPr>
          <w:i/>
          <w:iCs/>
          <w:sz w:val="24"/>
          <w:szCs w:val="24"/>
        </w:rPr>
        <w:t>et al.</w:t>
      </w:r>
      <w:r w:rsidRPr="005C5A0C">
        <w:rPr>
          <w:sz w:val="24"/>
          <w:szCs w:val="24"/>
        </w:rPr>
        <w:t xml:space="preserve"> (2017, p. 44), "essa narrativa ocidental de desenvolvimento humano, hoje assim como no passado, atribui valores diferenciados aos países e culturas existentes no mundo: um determinado grupo de países/culturas (Norte Global – 'Primeiro Mundo') é considerado 'avançado', ao passo que um outro grupo de países/culturas (Sul Global – 'Terceiro Mundo') é percebido como 'atrasado' e necessitando de ajuda e, muitas vezes, de intervenção". Essa lógica sustenta processos de apagamento e desvalorização dos diferentes modos de existir e produzir conhecimento nos países do Sul Global (</w:t>
      </w:r>
      <w:proofErr w:type="spellStart"/>
      <w:r w:rsidRPr="005C5A0C">
        <w:rPr>
          <w:sz w:val="24"/>
          <w:szCs w:val="24"/>
        </w:rPr>
        <w:t>Grosfoguel</w:t>
      </w:r>
      <w:proofErr w:type="spellEnd"/>
      <w:r w:rsidRPr="005C5A0C">
        <w:rPr>
          <w:sz w:val="24"/>
          <w:szCs w:val="24"/>
        </w:rPr>
        <w:t>, 2016).</w:t>
      </w:r>
    </w:p>
    <w:p w14:paraId="7B87A98C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t xml:space="preserve">Na perspectiva de enfrentar essa lógica </w:t>
      </w:r>
      <w:proofErr w:type="spellStart"/>
      <w:r w:rsidRPr="005C5A0C">
        <w:rPr>
          <w:sz w:val="24"/>
          <w:szCs w:val="24"/>
        </w:rPr>
        <w:t>epistemicida</w:t>
      </w:r>
      <w:proofErr w:type="spellEnd"/>
      <w:r w:rsidRPr="005C5A0C">
        <w:rPr>
          <w:sz w:val="24"/>
          <w:szCs w:val="24"/>
        </w:rPr>
        <w:t xml:space="preserve"> e </w:t>
      </w:r>
      <w:proofErr w:type="spellStart"/>
      <w:r w:rsidRPr="005C5A0C">
        <w:rPr>
          <w:sz w:val="24"/>
          <w:szCs w:val="24"/>
        </w:rPr>
        <w:t>monocultural</w:t>
      </w:r>
      <w:proofErr w:type="spellEnd"/>
      <w:r w:rsidRPr="005C5A0C">
        <w:rPr>
          <w:sz w:val="24"/>
          <w:szCs w:val="24"/>
        </w:rPr>
        <w:t xml:space="preserve"> ainda presente nos diferentes níveis da educação (Carneiro, 2023), os dois professores participantes desta pesquisa desenvolvem práticas que buscam romper com a tradição disciplinar e fragmentada predominante nos currículos escolares. Suas ações valorizam formas diversas de ensinar, pesquisar e produzir conhecimento, reconhecendo saberes historicamente marginalizados e promovendo práticas educativas comprometidas com a pluralidade epistemológica.</w:t>
      </w:r>
    </w:p>
    <w:p w14:paraId="1E805CEB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t>Este trabalho também propõe refletir sobre os atravessamentos entre pesquisadora, participantes e território, entendendo que é por meio das pesquisas-vida que podemos construir referenciais teóricos. Afinal, nossas experiências não cabem integralmente na teoria; ao contrário, constantemente a ultrapassam. Não se trata de produzir narrativas para que se ajustem à pesquisa, mas de permitir que a pesquisa emerja das próprias vidas.</w:t>
      </w:r>
    </w:p>
    <w:p w14:paraId="3D795CFE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lastRenderedPageBreak/>
        <w:t xml:space="preserve">Nesse sentido, os professores poderão, por meio da escrita </w:t>
      </w:r>
      <w:proofErr w:type="spellStart"/>
      <w:r w:rsidRPr="005C5A0C">
        <w:rPr>
          <w:sz w:val="24"/>
          <w:szCs w:val="24"/>
        </w:rPr>
        <w:t>autoetnográfica</w:t>
      </w:r>
      <w:proofErr w:type="spellEnd"/>
      <w:r w:rsidRPr="005C5A0C">
        <w:rPr>
          <w:sz w:val="24"/>
          <w:szCs w:val="24"/>
        </w:rPr>
        <w:t>, escolher quais experiências e histórias desejam compartilhar, preservando a autonomia sobre a construção de suas narrativas. Não há, nesta pesquisa, a pretensão de apropriar-se de suas vozes, tampouco de "dar voz" a quem supostamente não a possui. Busca-se, antes, exercer uma escuta ética, ativa e atenta, desafiando aquilo que Pinto (2024) denomina de "sintaxe da branquitude", isto é, a lógica que transforma participantes em "sujeitos de pesquisa" concebidos como silenciosos até serem representados pelo pesquisador.</w:t>
      </w:r>
    </w:p>
    <w:p w14:paraId="73F149E5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t>Nesse contexto, a autoetnografia revela-se uma abordagem particularmente potente para pesquisas que dialogam com histórias de vida. Como destaca Allen-</w:t>
      </w:r>
      <w:proofErr w:type="spellStart"/>
      <w:r w:rsidRPr="005C5A0C">
        <w:rPr>
          <w:sz w:val="24"/>
          <w:szCs w:val="24"/>
        </w:rPr>
        <w:t>Collinson</w:t>
      </w:r>
      <w:proofErr w:type="spellEnd"/>
      <w:r w:rsidRPr="005C5A0C">
        <w:rPr>
          <w:sz w:val="24"/>
          <w:szCs w:val="24"/>
        </w:rPr>
        <w:t xml:space="preserve"> (2016, p. 342), uma de suas principais forças reside em "sua abertura para novas direções e novas formas, sua natureza multifacetada e abrangente, recusando-se a ser amarrada e limitada ao ser rotulada como uma abordagem de pesquisa particular ou conjunto de técnicas". Essa abertura permite reconhecer que experiências pessoais, embora singulares, dialogam com experiências coletivas.</w:t>
      </w:r>
    </w:p>
    <w:p w14:paraId="0AACDD4A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t xml:space="preserve">Ao narrar minha própria trajetória, aproximo-me da convicção de que "evocar o pessoal pode iluminar o geral" (Douglas; </w:t>
      </w:r>
      <w:proofErr w:type="spellStart"/>
      <w:r w:rsidRPr="005C5A0C">
        <w:rPr>
          <w:sz w:val="24"/>
          <w:szCs w:val="24"/>
        </w:rPr>
        <w:t>Carless</w:t>
      </w:r>
      <w:proofErr w:type="spellEnd"/>
      <w:r w:rsidRPr="005C5A0C">
        <w:rPr>
          <w:sz w:val="24"/>
          <w:szCs w:val="24"/>
        </w:rPr>
        <w:t xml:space="preserve">, 2016, p. 93). O propósito não é apenas relatar experiências individuais, mas produzir narrativas capazes de ressoar nos leitores, suscitando reflexões que extrapolem o texto. Embora os estudos </w:t>
      </w:r>
      <w:proofErr w:type="spellStart"/>
      <w:r w:rsidRPr="005C5A0C">
        <w:rPr>
          <w:sz w:val="24"/>
          <w:szCs w:val="24"/>
        </w:rPr>
        <w:t>autoetnográficos</w:t>
      </w:r>
      <w:proofErr w:type="spellEnd"/>
      <w:r w:rsidRPr="005C5A0C">
        <w:rPr>
          <w:sz w:val="24"/>
          <w:szCs w:val="24"/>
        </w:rPr>
        <w:t xml:space="preserve"> valorizem perspectivas particulares, sua potência reside justamente na possibilidade de estabelecer diálogos entre diferentes experiências de vida.</w:t>
      </w:r>
    </w:p>
    <w:p w14:paraId="24B2268B" w14:textId="77777777" w:rsidR="005C5A0C" w:rsidRPr="005C5A0C" w:rsidRDefault="005C5A0C" w:rsidP="005C5A0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C5A0C">
        <w:rPr>
          <w:sz w:val="24"/>
          <w:szCs w:val="24"/>
        </w:rPr>
        <w:t xml:space="preserve">Por fim, ao compreender o texto — oral, escrito ou multimodal — como um evento comunicativo essencialmente dialógico, torna-se necessário considerar a interação entre autor e leitor. Como afirma </w:t>
      </w:r>
      <w:proofErr w:type="spellStart"/>
      <w:r w:rsidRPr="005C5A0C">
        <w:rPr>
          <w:sz w:val="24"/>
          <w:szCs w:val="24"/>
        </w:rPr>
        <w:t>Janks</w:t>
      </w:r>
      <w:proofErr w:type="spellEnd"/>
      <w:r w:rsidRPr="005C5A0C">
        <w:rPr>
          <w:sz w:val="24"/>
          <w:szCs w:val="24"/>
        </w:rPr>
        <w:t xml:space="preserve"> (2010, p. 58), a leitura mobiliza "quem somos e de onde viemos" nos processos de produção e recepção dos textos. Assim, os leitores deixam de ocupar uma posição passiva para tornarem-se agentes na construção de sentidos, permitindo que suas próprias histórias também reverberem na experiência da leitura.</w:t>
      </w:r>
    </w:p>
    <w:p w14:paraId="5A3F6825" w14:textId="77777777" w:rsidR="005C5A0C" w:rsidRDefault="005C5A0C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535B2BBA" w14:textId="43060D77" w:rsidR="00606A73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005F83C0" w14:textId="77777777" w:rsidR="00F21B0C" w:rsidRDefault="00F21B0C">
      <w:pPr>
        <w:keepLines/>
        <w:widowControl w:val="0"/>
        <w:spacing w:line="360" w:lineRule="auto"/>
        <w:jc w:val="both"/>
      </w:pPr>
    </w:p>
    <w:p w14:paraId="6BA967FE" w14:textId="170BF28E" w:rsidR="00606A73" w:rsidRPr="00F21B0C" w:rsidRDefault="00F21B0C">
      <w:pPr>
        <w:keepLines/>
        <w:widowControl w:val="0"/>
        <w:spacing w:line="360" w:lineRule="auto"/>
        <w:jc w:val="both"/>
      </w:pPr>
      <w:r w:rsidRPr="00F21B0C">
        <w:t>formação docente; ensino de línguas; comunidades tradicionais.</w:t>
      </w:r>
    </w:p>
    <w:p w14:paraId="009D85BA" w14:textId="77777777" w:rsidR="00606A73" w:rsidRDefault="00606A7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61FE792" w14:textId="77777777" w:rsidR="00606A73" w:rsidRPr="00A24A75" w:rsidRDefault="00000000">
      <w:pPr>
        <w:keepLines/>
        <w:widowControl w:val="0"/>
        <w:spacing w:line="240" w:lineRule="auto"/>
        <w:rPr>
          <w:sz w:val="24"/>
          <w:szCs w:val="24"/>
          <w:lang w:val="en-US"/>
        </w:rPr>
      </w:pPr>
      <w:r w:rsidRPr="00A24A75">
        <w:rPr>
          <w:b/>
          <w:bCs/>
          <w:sz w:val="24"/>
          <w:szCs w:val="24"/>
          <w:lang w:val="en-US"/>
        </w:rPr>
        <w:lastRenderedPageBreak/>
        <w:t>REFERÊNCIAS</w:t>
      </w:r>
      <w:r w:rsidRPr="00A24A75">
        <w:rPr>
          <w:sz w:val="24"/>
          <w:szCs w:val="24"/>
          <w:lang w:val="en-US"/>
        </w:rPr>
        <w:t xml:space="preserve"> </w:t>
      </w:r>
    </w:p>
    <w:p w14:paraId="6BD7D2DD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</w:pPr>
      <w:r w:rsidRPr="00F30CB2">
        <w:rPr>
          <w:lang w:val="en-US"/>
        </w:rPr>
        <w:t xml:space="preserve">ALLEN-COLLISON, J. Autoethnography as the Engagement of Self/Other, Self/Culture, Self/Politics, and Selves/Futures. In: JONES, S.; ADAMS, T. E.; ELLIS, C. (org.). </w:t>
      </w:r>
      <w:r w:rsidRPr="00F30CB2">
        <w:rPr>
          <w:i/>
          <w:iCs/>
          <w:lang w:val="en-US"/>
        </w:rPr>
        <w:t>Handbook of Autoethnography.</w:t>
      </w:r>
      <w:r w:rsidRPr="00F30CB2">
        <w:rPr>
          <w:lang w:val="en-US"/>
        </w:rPr>
        <w:t xml:space="preserve"> </w:t>
      </w:r>
      <w:r w:rsidRPr="00F30CB2">
        <w:t xml:space="preserve">New York: </w:t>
      </w:r>
      <w:proofErr w:type="spellStart"/>
      <w:r w:rsidRPr="00F30CB2">
        <w:t>Routledge</w:t>
      </w:r>
      <w:proofErr w:type="spellEnd"/>
      <w:r w:rsidRPr="00F30CB2">
        <w:t>, 2016. p. 324 – 346.</w:t>
      </w:r>
    </w:p>
    <w:p w14:paraId="7FEA0229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</w:pPr>
      <w:r w:rsidRPr="00F30CB2">
        <w:t xml:space="preserve">ANDREOTTI, V. O.; PEREIRA, R. S.; EDMUNDO, E. S. G. M. O Imaginário Global Dominante e Algumas Reflexões Sobre Os Pré-Requisitos Para Uma Educação Pós-abissal. </w:t>
      </w:r>
      <w:r w:rsidRPr="00F30CB2">
        <w:rPr>
          <w:i/>
          <w:iCs/>
        </w:rPr>
        <w:t>Revista Sinergias</w:t>
      </w:r>
      <w:r w:rsidRPr="00F30CB2">
        <w:t>, n. 5, 2017, p. 41-54.</w:t>
      </w:r>
    </w:p>
    <w:p w14:paraId="4F61CDF0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</w:pPr>
      <w:r w:rsidRPr="00F30CB2">
        <w:t xml:space="preserve">BORTONI-RICARDO, S. M. </w:t>
      </w:r>
      <w:r w:rsidRPr="00F30CB2">
        <w:rPr>
          <w:i/>
          <w:iCs/>
        </w:rPr>
        <w:t>Manual de Sociolinguística</w:t>
      </w:r>
      <w:r w:rsidRPr="00F30CB2">
        <w:t xml:space="preserve">. São Paulo: Contexto, 2014. </w:t>
      </w:r>
    </w:p>
    <w:p w14:paraId="76265184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</w:pPr>
      <w:r w:rsidRPr="00F30CB2">
        <w:t xml:space="preserve">BRASIL. Decreto nº 6.040, de 7 de fevereiro de 2007. Institui a Política Nacional de Desenvolvimento Sustentável dos Povos e Comunidades Tradicionais. Brasília, DF: </w:t>
      </w:r>
      <w:r w:rsidRPr="00F30CB2">
        <w:rPr>
          <w:i/>
          <w:iCs/>
        </w:rPr>
        <w:t>Diário Oficial da União</w:t>
      </w:r>
      <w:r w:rsidRPr="00F30CB2">
        <w:t>, 2007.</w:t>
      </w:r>
    </w:p>
    <w:p w14:paraId="37123348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</w:pPr>
      <w:r w:rsidRPr="00F30CB2">
        <w:t xml:space="preserve">CARLESS, D.; DOUGLAS, K. A </w:t>
      </w:r>
      <w:proofErr w:type="spellStart"/>
      <w:r w:rsidRPr="00F30CB2">
        <w:t>History</w:t>
      </w:r>
      <w:proofErr w:type="spellEnd"/>
      <w:r w:rsidRPr="00F30CB2">
        <w:t xml:space="preserve"> </w:t>
      </w:r>
      <w:proofErr w:type="spellStart"/>
      <w:r w:rsidRPr="00F30CB2">
        <w:t>of</w:t>
      </w:r>
      <w:proofErr w:type="spellEnd"/>
      <w:r w:rsidRPr="00F30CB2">
        <w:t xml:space="preserve"> </w:t>
      </w:r>
      <w:proofErr w:type="spellStart"/>
      <w:r w:rsidRPr="00F30CB2">
        <w:t>Autoethnographic</w:t>
      </w:r>
      <w:proofErr w:type="spellEnd"/>
      <w:r w:rsidRPr="00F30CB2">
        <w:t xml:space="preserve"> </w:t>
      </w:r>
      <w:proofErr w:type="spellStart"/>
      <w:r w:rsidRPr="00F30CB2">
        <w:t>Inquiry</w:t>
      </w:r>
      <w:proofErr w:type="spellEnd"/>
      <w:r w:rsidRPr="00F30CB2">
        <w:t xml:space="preserve">. </w:t>
      </w:r>
      <w:r w:rsidRPr="00F30CB2">
        <w:rPr>
          <w:lang w:val="en-US"/>
        </w:rPr>
        <w:t xml:space="preserve">In: JONES, S.; ADAMS, T E; ELLIS, C. (org.). </w:t>
      </w:r>
      <w:r w:rsidRPr="00F30CB2">
        <w:rPr>
          <w:i/>
          <w:iCs/>
          <w:lang w:val="en-US"/>
        </w:rPr>
        <w:t>Handbook of Autoethnography</w:t>
      </w:r>
      <w:r w:rsidRPr="00F30CB2">
        <w:rPr>
          <w:lang w:val="en-US"/>
        </w:rPr>
        <w:t xml:space="preserve">. </w:t>
      </w:r>
      <w:r w:rsidRPr="00F30CB2">
        <w:t xml:space="preserve">New York: </w:t>
      </w:r>
      <w:proofErr w:type="spellStart"/>
      <w:r w:rsidRPr="00F30CB2">
        <w:t>Routledge</w:t>
      </w:r>
      <w:proofErr w:type="spellEnd"/>
      <w:r w:rsidRPr="00F30CB2">
        <w:t>, 2016. p. 92-116.</w:t>
      </w:r>
    </w:p>
    <w:p w14:paraId="50463496" w14:textId="77777777" w:rsidR="00F30CB2" w:rsidRPr="00F21B0C" w:rsidRDefault="00F30CB2" w:rsidP="00F30CB2">
      <w:pPr>
        <w:spacing w:before="100" w:beforeAutospacing="1" w:after="100" w:afterAutospacing="1" w:line="240" w:lineRule="auto"/>
        <w:jc w:val="both"/>
      </w:pPr>
      <w:r w:rsidRPr="00F30CB2">
        <w:t xml:space="preserve">CARNEIRO, Sueli. </w:t>
      </w:r>
      <w:r w:rsidRPr="00F30CB2">
        <w:rPr>
          <w:i/>
          <w:iCs/>
        </w:rPr>
        <w:t>Dispositivo de racialidade</w:t>
      </w:r>
      <w:r w:rsidRPr="00F30CB2">
        <w:t xml:space="preserve">: a construção do Outro como não ser e como fundamento do ser. </w:t>
      </w:r>
      <w:r w:rsidRPr="00F21B0C">
        <w:t>Rio de janeiro: ZAHAR, 2023.</w:t>
      </w:r>
    </w:p>
    <w:p w14:paraId="5D208418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  <w:rPr>
          <w:lang w:val="en-US"/>
        </w:rPr>
      </w:pPr>
      <w:r w:rsidRPr="00F30CB2">
        <w:t xml:space="preserve">GROSFOGUEL, R. A estrutura do conhecimento nas universidades ocidentalizadas: racismo/sexismo epistêmico e os quatro genocídios/epistemicídios do longo século XVI. </w:t>
      </w:r>
      <w:proofErr w:type="spellStart"/>
      <w:r w:rsidRPr="00F30CB2">
        <w:rPr>
          <w:i/>
          <w:iCs/>
          <w:lang w:val="en-US"/>
        </w:rPr>
        <w:t>Sociedade</w:t>
      </w:r>
      <w:proofErr w:type="spellEnd"/>
      <w:r w:rsidRPr="00F30CB2">
        <w:rPr>
          <w:i/>
          <w:iCs/>
          <w:lang w:val="en-US"/>
        </w:rPr>
        <w:t xml:space="preserve"> e Estado</w:t>
      </w:r>
      <w:r w:rsidRPr="00F30CB2">
        <w:rPr>
          <w:lang w:val="en-US"/>
        </w:rPr>
        <w:t>. v. 31, n. 1, 2016, p. 25-49.</w:t>
      </w:r>
    </w:p>
    <w:p w14:paraId="43786489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  <w:rPr>
          <w:lang w:val="en-US"/>
        </w:rPr>
      </w:pPr>
      <w:r w:rsidRPr="00F30CB2">
        <w:rPr>
          <w:lang w:val="en-US"/>
        </w:rPr>
        <w:t xml:space="preserve">JANKS, H. </w:t>
      </w:r>
      <w:r w:rsidRPr="00F30CB2">
        <w:rPr>
          <w:i/>
          <w:iCs/>
          <w:lang w:val="en-US"/>
        </w:rPr>
        <w:t>Literacy and Power</w:t>
      </w:r>
      <w:r w:rsidRPr="00F30CB2">
        <w:rPr>
          <w:lang w:val="en-US"/>
        </w:rPr>
        <w:t>. New York: Routledge, 2010.</w:t>
      </w:r>
    </w:p>
    <w:p w14:paraId="7CB5B11C" w14:textId="77777777" w:rsidR="00F30CB2" w:rsidRPr="00F30CB2" w:rsidRDefault="00F30CB2" w:rsidP="00F30CB2">
      <w:pPr>
        <w:pStyle w:val="Ttulo2"/>
        <w:shd w:val="clear" w:color="auto" w:fill="FFFFFF"/>
        <w:spacing w:before="100" w:beforeAutospacing="1" w:after="100" w:afterAutospacing="1" w:line="240" w:lineRule="auto"/>
        <w:jc w:val="both"/>
        <w:rPr>
          <w:sz w:val="22"/>
          <w:szCs w:val="22"/>
        </w:rPr>
      </w:pPr>
      <w:r w:rsidRPr="00F30CB2">
        <w:rPr>
          <w:sz w:val="22"/>
          <w:szCs w:val="22"/>
        </w:rPr>
        <w:t xml:space="preserve">PINTO, J. P. </w:t>
      </w:r>
      <w:r w:rsidRPr="00F30CB2">
        <w:rPr>
          <w:sz w:val="22"/>
          <w:szCs w:val="22"/>
          <w:shd w:val="clear" w:color="auto" w:fill="FDFDFD"/>
        </w:rPr>
        <w:t>Interrogando as estratégias de engolfamentos discursivos da branquitude</w:t>
      </w:r>
      <w:r w:rsidRPr="00F30CB2">
        <w:rPr>
          <w:sz w:val="22"/>
          <w:szCs w:val="22"/>
        </w:rPr>
        <w:t xml:space="preserve">. </w:t>
      </w:r>
      <w:r w:rsidRPr="00F30CB2">
        <w:rPr>
          <w:i/>
          <w:iCs/>
          <w:sz w:val="22"/>
          <w:szCs w:val="22"/>
        </w:rPr>
        <w:t>Youtube</w:t>
      </w:r>
      <w:r w:rsidRPr="00F30CB2">
        <w:rPr>
          <w:sz w:val="22"/>
          <w:szCs w:val="22"/>
        </w:rPr>
        <w:t xml:space="preserve">: Rio de Janeiro, 26 jun.  2024. Disponível em: https://www.youtube.com/watch?v=kk-9UG5sOes. Acesso em: 04 jul. 2024.  </w:t>
      </w:r>
    </w:p>
    <w:p w14:paraId="61587B1A" w14:textId="77777777" w:rsidR="00F30CB2" w:rsidRPr="00F30CB2" w:rsidRDefault="00F30CB2" w:rsidP="00F30CB2">
      <w:pPr>
        <w:spacing w:before="100" w:beforeAutospacing="1" w:after="100" w:afterAutospacing="1" w:line="240" w:lineRule="auto"/>
        <w:jc w:val="both"/>
      </w:pPr>
      <w:r w:rsidRPr="00F30CB2">
        <w:t xml:space="preserve">STREET, B. V. </w:t>
      </w:r>
      <w:r w:rsidRPr="00F30CB2">
        <w:rPr>
          <w:i/>
          <w:iCs/>
        </w:rPr>
        <w:t>Letramentos sociais:</w:t>
      </w:r>
      <w:r w:rsidRPr="00F30CB2">
        <w:t xml:space="preserve"> Abordagens críticas do letramento no desenvolvimento, na etnografia e na educação. São Paulo: Parábola Editorial, 2014.</w:t>
      </w:r>
    </w:p>
    <w:p w14:paraId="71949593" w14:textId="77777777" w:rsidR="00606A73" w:rsidRPr="00F30CB2" w:rsidRDefault="00606A73">
      <w:pPr>
        <w:spacing w:after="200" w:line="240" w:lineRule="auto"/>
        <w:jc w:val="both"/>
        <w:rPr>
          <w:b/>
          <w:bCs/>
        </w:rPr>
      </w:pPr>
    </w:p>
    <w:sectPr w:rsidR="00606A73" w:rsidRPr="00F30CB2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2FBC" w14:textId="77777777" w:rsidR="00665B65" w:rsidRDefault="00665B65">
      <w:pPr>
        <w:spacing w:line="240" w:lineRule="auto"/>
      </w:pPr>
      <w:r>
        <w:separator/>
      </w:r>
    </w:p>
  </w:endnote>
  <w:endnote w:type="continuationSeparator" w:id="0">
    <w:p w14:paraId="70015E4A" w14:textId="77777777" w:rsidR="00665B65" w:rsidRDefault="00665B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5D32CF-BC13-4F90-BA25-503CC4D6D0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2D39F0-BBA7-4433-A906-657D13B786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F8D1" w14:textId="77777777" w:rsidR="00606A7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0764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3C84" w14:textId="77777777" w:rsidR="00606A73" w:rsidRDefault="00606A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E5230" w14:textId="77777777" w:rsidR="00665B65" w:rsidRDefault="00665B65">
      <w:pPr>
        <w:spacing w:line="240" w:lineRule="auto"/>
      </w:pPr>
      <w:r>
        <w:separator/>
      </w:r>
    </w:p>
  </w:footnote>
  <w:footnote w:type="continuationSeparator" w:id="0">
    <w:p w14:paraId="318FBFE5" w14:textId="77777777" w:rsidR="00665B65" w:rsidRDefault="00665B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50DA" w14:textId="77777777" w:rsidR="00606A73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4219135" wp14:editId="16CC4F2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7068901" wp14:editId="10C2B76B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A59F99" w14:textId="77777777" w:rsidR="00606A73" w:rsidRDefault="00606A73">
    <w:pPr>
      <w:jc w:val="right"/>
    </w:pPr>
  </w:p>
  <w:p w14:paraId="7CE899B4" w14:textId="77777777" w:rsidR="00606A73" w:rsidRDefault="00606A73">
    <w:pPr>
      <w:jc w:val="right"/>
    </w:pPr>
  </w:p>
  <w:p w14:paraId="025D8887" w14:textId="77777777" w:rsidR="00606A73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903455C" wp14:editId="2D88AAD2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BD49C" w14:textId="77777777" w:rsidR="00606A73" w:rsidRDefault="00606A7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73"/>
    <w:rsid w:val="0003018D"/>
    <w:rsid w:val="00095EA4"/>
    <w:rsid w:val="001930A0"/>
    <w:rsid w:val="001B37B3"/>
    <w:rsid w:val="001D442D"/>
    <w:rsid w:val="00246015"/>
    <w:rsid w:val="002559EC"/>
    <w:rsid w:val="00332777"/>
    <w:rsid w:val="0040764A"/>
    <w:rsid w:val="00464A91"/>
    <w:rsid w:val="00511192"/>
    <w:rsid w:val="005722D7"/>
    <w:rsid w:val="005C5A0C"/>
    <w:rsid w:val="00606A73"/>
    <w:rsid w:val="00665B65"/>
    <w:rsid w:val="006B580D"/>
    <w:rsid w:val="007B2F60"/>
    <w:rsid w:val="0080393E"/>
    <w:rsid w:val="008A0AF1"/>
    <w:rsid w:val="009A5772"/>
    <w:rsid w:val="009C6870"/>
    <w:rsid w:val="00A015F8"/>
    <w:rsid w:val="00A24A75"/>
    <w:rsid w:val="00AA033B"/>
    <w:rsid w:val="00BD4430"/>
    <w:rsid w:val="00BF5462"/>
    <w:rsid w:val="00CA5D4C"/>
    <w:rsid w:val="00DE3BBA"/>
    <w:rsid w:val="00DF490A"/>
    <w:rsid w:val="00E36836"/>
    <w:rsid w:val="00EA2232"/>
    <w:rsid w:val="00EC5D7C"/>
    <w:rsid w:val="00ED55A1"/>
    <w:rsid w:val="00F010D2"/>
    <w:rsid w:val="00F21B0C"/>
    <w:rsid w:val="00F30CB2"/>
    <w:rsid w:val="00FE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6E42"/>
  <w15:docId w15:val="{DF3308AC-6E1C-40E5-9839-595A0F98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40764A"/>
    <w:pPr>
      <w:spacing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40764A"/>
    <w:rPr>
      <w:rFonts w:ascii="Calibri" w:eastAsia="Calibri" w:hAnsi="Calibri" w:cs="Calibri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0764A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40764A"/>
    <w:pPr>
      <w:widowControl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1254</Words>
  <Characters>6772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Josiane Prescendo Tonin</cp:lastModifiedBy>
  <cp:revision>19</cp:revision>
  <dcterms:created xsi:type="dcterms:W3CDTF">2026-07-12T00:18:00Z</dcterms:created>
  <dcterms:modified xsi:type="dcterms:W3CDTF">2026-07-20T17:31:00Z</dcterms:modified>
</cp:coreProperties>
</file>