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907E1" w14:textId="5DB7E675" w:rsidR="00AE75D7" w:rsidRDefault="008936D1">
      <w:pPr>
        <w:keepLines/>
        <w:widowControl w:val="0"/>
        <w:spacing w:line="240" w:lineRule="auto"/>
        <w:jc w:val="center"/>
        <w:rPr>
          <w:b/>
          <w:bCs/>
          <w:sz w:val="24"/>
          <w:szCs w:val="24"/>
        </w:rPr>
      </w:pPr>
      <w:r w:rsidRPr="005A0ABF">
        <w:rPr>
          <w:b/>
          <w:bCs/>
          <w:sz w:val="24"/>
          <w:szCs w:val="24"/>
        </w:rPr>
        <w:t>EDUCAÇÃO DECOLONIAL E O ENSINO DE CIÊNCIAS NATURAIS E MATEMÁTICA</w:t>
      </w:r>
    </w:p>
    <w:p w14:paraId="15B9FB97" w14:textId="77777777" w:rsidR="005A0ABF" w:rsidRPr="005A0ABF" w:rsidRDefault="005A0ABF">
      <w:pPr>
        <w:keepLines/>
        <w:widowControl w:val="0"/>
        <w:spacing w:line="240" w:lineRule="auto"/>
        <w:jc w:val="center"/>
        <w:rPr>
          <w:b/>
          <w:bCs/>
          <w:sz w:val="24"/>
          <w:szCs w:val="24"/>
        </w:rPr>
      </w:pPr>
    </w:p>
    <w:p w14:paraId="77918291" w14:textId="77777777" w:rsidR="00AE75D7" w:rsidRPr="005A0ABF" w:rsidRDefault="00AE75D7">
      <w:pPr>
        <w:keepLines/>
        <w:widowControl w:val="0"/>
        <w:spacing w:line="240" w:lineRule="auto"/>
        <w:rPr>
          <w:b/>
          <w:bCs/>
          <w:sz w:val="24"/>
          <w:szCs w:val="24"/>
        </w:rPr>
      </w:pPr>
    </w:p>
    <w:p w14:paraId="244AF6AE" w14:textId="77777777" w:rsidR="00AE75D7" w:rsidRPr="005A0ABF" w:rsidRDefault="00AE75D7">
      <w:pPr>
        <w:keepLines/>
        <w:widowControl w:val="0"/>
        <w:spacing w:line="240" w:lineRule="auto"/>
        <w:rPr>
          <w:b/>
          <w:bCs/>
          <w:sz w:val="24"/>
          <w:szCs w:val="24"/>
        </w:rPr>
      </w:pPr>
    </w:p>
    <w:p w14:paraId="47C9E3D4" w14:textId="457A86D1" w:rsidR="005B0CAB" w:rsidRPr="005A0ABF" w:rsidRDefault="00000000" w:rsidP="005B0CAB">
      <w:pPr>
        <w:spacing w:line="240" w:lineRule="auto"/>
        <w:jc w:val="center"/>
        <w:rPr>
          <w:b/>
          <w:bCs/>
          <w:sz w:val="24"/>
          <w:szCs w:val="24"/>
        </w:rPr>
      </w:pPr>
      <w:r w:rsidRPr="005A0ABF">
        <w:rPr>
          <w:b/>
          <w:bCs/>
          <w:sz w:val="24"/>
          <w:szCs w:val="24"/>
        </w:rPr>
        <w:t xml:space="preserve"> </w:t>
      </w:r>
      <w:r w:rsidR="008936D1" w:rsidRPr="005A0ABF">
        <w:rPr>
          <w:b/>
          <w:bCs/>
          <w:sz w:val="24"/>
          <w:szCs w:val="24"/>
        </w:rPr>
        <w:t>Entre a Matemática da Vida e a Matemática da Escola: Um Diálogo com a Etnomatemática e a Decolonialidade</w:t>
      </w:r>
    </w:p>
    <w:p w14:paraId="6AE62A61" w14:textId="33043540" w:rsidR="00AE75D7" w:rsidRPr="005A0ABF" w:rsidRDefault="008936D1">
      <w:pPr>
        <w:keepLines/>
        <w:widowControl w:val="0"/>
        <w:spacing w:line="240" w:lineRule="auto"/>
        <w:jc w:val="center"/>
        <w:rPr>
          <w:b/>
          <w:bCs/>
          <w:sz w:val="24"/>
          <w:szCs w:val="24"/>
        </w:rPr>
      </w:pPr>
      <w:r w:rsidRPr="005A0ABF">
        <w:rPr>
          <w:b/>
          <w:bCs/>
          <w:sz w:val="24"/>
          <w:szCs w:val="24"/>
        </w:rPr>
        <w:t xml:space="preserve"> </w:t>
      </w:r>
    </w:p>
    <w:p w14:paraId="31130231" w14:textId="77777777" w:rsidR="00AE75D7" w:rsidRPr="005A0ABF" w:rsidRDefault="00AE75D7">
      <w:pPr>
        <w:keepLines/>
        <w:widowControl w:val="0"/>
        <w:spacing w:line="240" w:lineRule="auto"/>
        <w:jc w:val="right"/>
        <w:rPr>
          <w:sz w:val="24"/>
          <w:szCs w:val="24"/>
        </w:rPr>
      </w:pPr>
    </w:p>
    <w:p w14:paraId="4147D636" w14:textId="5F7DB1F9" w:rsidR="00AE75D7" w:rsidRPr="005A0ABF" w:rsidRDefault="005B0CAB">
      <w:pPr>
        <w:keepLines/>
        <w:widowControl w:val="0"/>
        <w:spacing w:line="240" w:lineRule="auto"/>
        <w:jc w:val="right"/>
        <w:rPr>
          <w:sz w:val="24"/>
          <w:szCs w:val="24"/>
        </w:rPr>
      </w:pPr>
      <w:r w:rsidRPr="005A0ABF">
        <w:rPr>
          <w:sz w:val="24"/>
          <w:szCs w:val="24"/>
        </w:rPr>
        <w:t>Cinthia Nunes Fernandes, Universidade de Brasília, cinthia.nunesfa@gmail.com</w:t>
      </w:r>
    </w:p>
    <w:p w14:paraId="7BF1A93C" w14:textId="0892C949" w:rsidR="00AE75D7" w:rsidRPr="005A0ABF" w:rsidRDefault="005B0CAB">
      <w:pPr>
        <w:keepLines/>
        <w:widowControl w:val="0"/>
        <w:spacing w:line="240" w:lineRule="auto"/>
        <w:jc w:val="right"/>
        <w:rPr>
          <w:sz w:val="24"/>
          <w:szCs w:val="24"/>
        </w:rPr>
      </w:pPr>
      <w:proofErr w:type="spellStart"/>
      <w:r w:rsidRPr="005A0ABF">
        <w:rPr>
          <w:sz w:val="24"/>
          <w:szCs w:val="24"/>
        </w:rPr>
        <w:t>Edvonete</w:t>
      </w:r>
      <w:proofErr w:type="spellEnd"/>
      <w:r w:rsidRPr="005A0ABF">
        <w:rPr>
          <w:sz w:val="24"/>
          <w:szCs w:val="24"/>
        </w:rPr>
        <w:t xml:space="preserve"> Souza de Alencar, Universidade de Brasília, edvonete.alencar@unb.br</w:t>
      </w:r>
    </w:p>
    <w:p w14:paraId="05975BE4" w14:textId="6F86028B" w:rsidR="00AE75D7" w:rsidRPr="005A0ABF" w:rsidRDefault="00AE75D7">
      <w:pPr>
        <w:keepLines/>
        <w:widowControl w:val="0"/>
        <w:spacing w:line="240" w:lineRule="auto"/>
        <w:jc w:val="right"/>
        <w:rPr>
          <w:sz w:val="24"/>
          <w:szCs w:val="24"/>
        </w:rPr>
      </w:pPr>
    </w:p>
    <w:p w14:paraId="1AACEFEE" w14:textId="77777777" w:rsidR="00AE75D7" w:rsidRPr="005A0ABF" w:rsidRDefault="00AE75D7">
      <w:pPr>
        <w:keepLines/>
        <w:widowControl w:val="0"/>
        <w:spacing w:line="240" w:lineRule="auto"/>
        <w:rPr>
          <w:sz w:val="24"/>
          <w:szCs w:val="24"/>
        </w:rPr>
      </w:pPr>
    </w:p>
    <w:p w14:paraId="5CAF2FDC" w14:textId="77777777" w:rsidR="00AE75D7" w:rsidRPr="005A0ABF" w:rsidRDefault="00AE75D7">
      <w:pPr>
        <w:keepLines/>
        <w:widowControl w:val="0"/>
        <w:spacing w:line="360" w:lineRule="auto"/>
        <w:rPr>
          <w:b/>
          <w:bCs/>
          <w:sz w:val="24"/>
          <w:szCs w:val="24"/>
        </w:rPr>
      </w:pPr>
    </w:p>
    <w:p w14:paraId="60F9C236" w14:textId="77777777" w:rsidR="005B0CAB" w:rsidRPr="005A0ABF" w:rsidRDefault="005B0CAB" w:rsidP="00041758">
      <w:pPr>
        <w:spacing w:line="360" w:lineRule="auto"/>
        <w:rPr>
          <w:b/>
          <w:bCs/>
          <w:sz w:val="24"/>
          <w:szCs w:val="24"/>
        </w:rPr>
      </w:pPr>
      <w:r w:rsidRPr="005A0ABF">
        <w:rPr>
          <w:b/>
          <w:bCs/>
          <w:sz w:val="24"/>
          <w:szCs w:val="24"/>
        </w:rPr>
        <w:t xml:space="preserve">INTRODUÇÃO </w:t>
      </w:r>
    </w:p>
    <w:p w14:paraId="689C763E" w14:textId="77777777" w:rsidR="005B0CAB" w:rsidRPr="005A0ABF" w:rsidRDefault="005B0CAB" w:rsidP="005B0CAB">
      <w:pPr>
        <w:pStyle w:val="PargrafodaLista"/>
        <w:spacing w:after="0" w:line="360" w:lineRule="auto"/>
        <w:rPr>
          <w:rFonts w:ascii="Arial" w:hAnsi="Arial" w:cs="Arial"/>
          <w:b/>
          <w:bCs/>
          <w:sz w:val="24"/>
          <w:szCs w:val="24"/>
        </w:rPr>
      </w:pPr>
    </w:p>
    <w:p w14:paraId="5571268D" w14:textId="2262B20F" w:rsidR="005B0CAB" w:rsidRPr="005A0ABF" w:rsidRDefault="005B0CAB" w:rsidP="005B0CAB">
      <w:pPr>
        <w:spacing w:line="360" w:lineRule="auto"/>
        <w:ind w:firstLine="708"/>
        <w:jc w:val="both"/>
        <w:rPr>
          <w:sz w:val="24"/>
          <w:szCs w:val="24"/>
        </w:rPr>
      </w:pPr>
      <w:r w:rsidRPr="005A0ABF">
        <w:rPr>
          <w:sz w:val="24"/>
          <w:szCs w:val="24"/>
        </w:rPr>
        <w:t xml:space="preserve">Nas experiências cotidianas, o sujeito </w:t>
      </w:r>
      <w:r w:rsidR="00A93837" w:rsidRPr="005A0ABF">
        <w:rPr>
          <w:sz w:val="24"/>
          <w:szCs w:val="24"/>
        </w:rPr>
        <w:t>realiza</w:t>
      </w:r>
      <w:r w:rsidRPr="005A0ABF">
        <w:rPr>
          <w:sz w:val="24"/>
          <w:szCs w:val="24"/>
        </w:rPr>
        <w:t xml:space="preserve"> contagens, comparações e estimativas, </w:t>
      </w:r>
      <w:r w:rsidR="00A93837" w:rsidRPr="005A0ABF">
        <w:rPr>
          <w:sz w:val="24"/>
          <w:szCs w:val="24"/>
        </w:rPr>
        <w:t>de forma</w:t>
      </w:r>
      <w:r w:rsidRPr="005A0ABF">
        <w:rPr>
          <w:sz w:val="24"/>
          <w:szCs w:val="24"/>
        </w:rPr>
        <w:t xml:space="preserve"> espontânea</w:t>
      </w:r>
      <w:r w:rsidR="00A93837" w:rsidRPr="005A0ABF">
        <w:rPr>
          <w:sz w:val="24"/>
          <w:szCs w:val="24"/>
        </w:rPr>
        <w:t>, informal</w:t>
      </w:r>
      <w:r w:rsidRPr="005A0ABF">
        <w:rPr>
          <w:sz w:val="24"/>
          <w:szCs w:val="24"/>
        </w:rPr>
        <w:t xml:space="preserve"> e carregada de significados. Diante dessa realidade, nos deparamos com a contradição de que os conhecimentos mobilizados em contextos cotidianos nem sempre são reconhecidos ou valorizados no espaço escolar. Essa tensão é evidenciada por </w:t>
      </w:r>
      <w:proofErr w:type="spellStart"/>
      <w:r w:rsidRPr="005A0ABF">
        <w:rPr>
          <w:sz w:val="24"/>
          <w:szCs w:val="24"/>
        </w:rPr>
        <w:t>Carraher</w:t>
      </w:r>
      <w:proofErr w:type="spellEnd"/>
      <w:r w:rsidRPr="005A0ABF">
        <w:rPr>
          <w:sz w:val="24"/>
          <w:szCs w:val="24"/>
        </w:rPr>
        <w:t xml:space="preserve"> (1982), ao demonstrarem que o desempenho matemático dos sujeitos pode variar significativamente conforme o contexto em que os problemas são apresentados.</w:t>
      </w:r>
    </w:p>
    <w:p w14:paraId="70E0DCFD" w14:textId="0DA47085" w:rsidR="005B0CAB" w:rsidRPr="005A0ABF" w:rsidRDefault="005B0CAB" w:rsidP="005B0CAB">
      <w:pPr>
        <w:spacing w:line="360" w:lineRule="auto"/>
        <w:ind w:firstLine="708"/>
        <w:jc w:val="both"/>
        <w:rPr>
          <w:sz w:val="24"/>
          <w:szCs w:val="24"/>
        </w:rPr>
      </w:pPr>
      <w:r w:rsidRPr="005A0ABF">
        <w:rPr>
          <w:sz w:val="24"/>
          <w:szCs w:val="24"/>
        </w:rPr>
        <w:t xml:space="preserve">Para a Etnomatemática, é possível perceber a intrínseca relação entre o fazer matemático e o contexto em que ele se manifesta (D’Ambrósio, 2011), </w:t>
      </w:r>
      <w:r w:rsidR="004807C0" w:rsidRPr="004807C0">
        <w:rPr>
          <w:sz w:val="24"/>
          <w:szCs w:val="24"/>
        </w:rPr>
        <w:t>ao passo que a perspectiva decolonial amplia essa discussão ao problematizar as relações de poder que atravessam a produção, a legitimação e a hierarquização dos conhecimentos matemáticos (Knijnik, 2012)</w:t>
      </w:r>
      <w:r w:rsidRPr="005A0ABF">
        <w:rPr>
          <w:sz w:val="24"/>
          <w:szCs w:val="24"/>
        </w:rPr>
        <w:t>.</w:t>
      </w:r>
    </w:p>
    <w:p w14:paraId="7D8ADA15" w14:textId="77777777" w:rsidR="005B0CAB" w:rsidRPr="005A0ABF" w:rsidRDefault="005B0CAB" w:rsidP="005B0CAB">
      <w:pPr>
        <w:spacing w:line="360" w:lineRule="auto"/>
        <w:ind w:firstLine="708"/>
        <w:jc w:val="both"/>
        <w:rPr>
          <w:sz w:val="24"/>
          <w:szCs w:val="24"/>
        </w:rPr>
      </w:pPr>
      <w:r w:rsidRPr="005A0ABF">
        <w:rPr>
          <w:sz w:val="24"/>
          <w:szCs w:val="24"/>
        </w:rPr>
        <w:t xml:space="preserve">Este estudo busca responder à seguinte questão: Que aproximações podem ser estabelecidas entre a problematização dos saberes matemáticos cotidianos apresentada em </w:t>
      </w:r>
      <w:r w:rsidRPr="005A0ABF">
        <w:rPr>
          <w:i/>
          <w:iCs/>
          <w:sz w:val="24"/>
          <w:szCs w:val="24"/>
        </w:rPr>
        <w:t>Na vida, dez; na escola, zero</w:t>
      </w:r>
      <w:r w:rsidRPr="005A0ABF">
        <w:rPr>
          <w:sz w:val="24"/>
          <w:szCs w:val="24"/>
        </w:rPr>
        <w:t>, a Etnomatemática e a perspectiva decolonial? E tem como objetivo analisar essas aproximações.</w:t>
      </w:r>
    </w:p>
    <w:p w14:paraId="52DD415A" w14:textId="77777777" w:rsidR="005B0CAB" w:rsidRPr="005A0ABF" w:rsidRDefault="005B0CAB" w:rsidP="005B0CAB">
      <w:pPr>
        <w:spacing w:line="360" w:lineRule="auto"/>
        <w:ind w:firstLine="708"/>
        <w:jc w:val="both"/>
        <w:rPr>
          <w:sz w:val="24"/>
          <w:szCs w:val="24"/>
        </w:rPr>
      </w:pPr>
    </w:p>
    <w:p w14:paraId="0D20FEED" w14:textId="77777777" w:rsidR="005B0CAB" w:rsidRPr="005A0ABF" w:rsidRDefault="005B0CAB" w:rsidP="00041758">
      <w:pPr>
        <w:spacing w:line="360" w:lineRule="auto"/>
        <w:rPr>
          <w:b/>
          <w:bCs/>
          <w:sz w:val="24"/>
          <w:szCs w:val="24"/>
        </w:rPr>
      </w:pPr>
      <w:r w:rsidRPr="005A0ABF">
        <w:rPr>
          <w:b/>
          <w:bCs/>
          <w:sz w:val="24"/>
          <w:szCs w:val="24"/>
        </w:rPr>
        <w:t>METODOLOGIA</w:t>
      </w:r>
    </w:p>
    <w:p w14:paraId="55F89929" w14:textId="77777777" w:rsidR="00A93837" w:rsidRPr="005A0ABF" w:rsidRDefault="00A93837" w:rsidP="00A93837">
      <w:pPr>
        <w:spacing w:line="360" w:lineRule="auto"/>
        <w:jc w:val="both"/>
        <w:rPr>
          <w:sz w:val="24"/>
          <w:szCs w:val="24"/>
        </w:rPr>
      </w:pPr>
    </w:p>
    <w:p w14:paraId="5285C7D2" w14:textId="3F55B474" w:rsidR="005B0CAB" w:rsidRPr="005A0ABF" w:rsidRDefault="005B0CAB" w:rsidP="00A93837">
      <w:pPr>
        <w:spacing w:line="360" w:lineRule="auto"/>
        <w:ind w:firstLine="720"/>
        <w:jc w:val="both"/>
        <w:rPr>
          <w:sz w:val="24"/>
          <w:szCs w:val="24"/>
        </w:rPr>
      </w:pPr>
      <w:r w:rsidRPr="005A0ABF">
        <w:rPr>
          <w:sz w:val="24"/>
          <w:szCs w:val="24"/>
        </w:rPr>
        <w:t xml:space="preserve">Trata-se de um estudo qualitativo, de natureza bibliográfica, que conforme Gil (2002, p. 44), “é desenvolvida com base em material já elaborado, constituído </w:t>
      </w:r>
      <w:r w:rsidRPr="005A0ABF">
        <w:rPr>
          <w:sz w:val="24"/>
          <w:szCs w:val="24"/>
        </w:rPr>
        <w:lastRenderedPageBreak/>
        <w:t xml:space="preserve">principalmente de livros e artigos científicos”. Assim, toma como texto-base o artigo de </w:t>
      </w:r>
      <w:proofErr w:type="spellStart"/>
      <w:r w:rsidRPr="005A0ABF">
        <w:rPr>
          <w:sz w:val="24"/>
          <w:szCs w:val="24"/>
        </w:rPr>
        <w:t>Carraher</w:t>
      </w:r>
      <w:proofErr w:type="spellEnd"/>
      <w:r w:rsidRPr="005A0ABF">
        <w:rPr>
          <w:sz w:val="24"/>
          <w:szCs w:val="24"/>
        </w:rPr>
        <w:t xml:space="preserve"> et al. (1982). A análise estabelece diálogos entre as problematizações apresentadas pelos autores, a Etnomatemática de D’</w:t>
      </w:r>
      <w:proofErr w:type="spellStart"/>
      <w:r w:rsidRPr="005A0ABF">
        <w:rPr>
          <w:sz w:val="24"/>
          <w:szCs w:val="24"/>
        </w:rPr>
        <w:t>Ambrosio</w:t>
      </w:r>
      <w:proofErr w:type="spellEnd"/>
      <w:r w:rsidRPr="005A0ABF">
        <w:rPr>
          <w:sz w:val="24"/>
          <w:szCs w:val="24"/>
        </w:rPr>
        <w:t xml:space="preserve"> e contribuições do pensamento decolonial, buscando refletir sobre o reconhecimento dos saberes matemáticos cotidianos no processo de escolarização.</w:t>
      </w:r>
    </w:p>
    <w:p w14:paraId="714FA418" w14:textId="77777777" w:rsidR="005B0CAB" w:rsidRPr="005A0ABF" w:rsidRDefault="005B0CAB" w:rsidP="005B0CAB">
      <w:pPr>
        <w:spacing w:line="360" w:lineRule="auto"/>
        <w:ind w:firstLine="708"/>
        <w:jc w:val="both"/>
        <w:rPr>
          <w:sz w:val="24"/>
          <w:szCs w:val="24"/>
        </w:rPr>
      </w:pPr>
    </w:p>
    <w:p w14:paraId="175720A3" w14:textId="77777777" w:rsidR="005B0CAB" w:rsidRPr="005A0ABF" w:rsidRDefault="005B0CAB" w:rsidP="00041758">
      <w:pPr>
        <w:spacing w:line="360" w:lineRule="auto"/>
        <w:rPr>
          <w:b/>
          <w:bCs/>
          <w:sz w:val="24"/>
          <w:szCs w:val="24"/>
        </w:rPr>
      </w:pPr>
      <w:r w:rsidRPr="005A0ABF">
        <w:rPr>
          <w:b/>
          <w:bCs/>
          <w:sz w:val="24"/>
          <w:szCs w:val="24"/>
        </w:rPr>
        <w:t>ENTRE A MATEMÁTICA DA VIDA E A MATEMÁTICA DA ESCOLA</w:t>
      </w:r>
    </w:p>
    <w:p w14:paraId="048BC0B2" w14:textId="77777777" w:rsidR="005B0CAB" w:rsidRPr="005A0ABF" w:rsidRDefault="005B0CAB" w:rsidP="005B0CAB">
      <w:pPr>
        <w:pStyle w:val="PargrafodaLista"/>
        <w:spacing w:after="0" w:line="360" w:lineRule="auto"/>
        <w:rPr>
          <w:rFonts w:ascii="Arial" w:hAnsi="Arial" w:cs="Arial"/>
          <w:b/>
          <w:bCs/>
          <w:sz w:val="24"/>
          <w:szCs w:val="24"/>
        </w:rPr>
      </w:pPr>
    </w:p>
    <w:p w14:paraId="006C17FA" w14:textId="77777777" w:rsidR="005B0CAB" w:rsidRPr="005A0ABF" w:rsidRDefault="005B0CAB" w:rsidP="005B0CAB">
      <w:pPr>
        <w:spacing w:line="360" w:lineRule="auto"/>
        <w:ind w:firstLine="708"/>
        <w:jc w:val="both"/>
        <w:rPr>
          <w:sz w:val="24"/>
          <w:szCs w:val="24"/>
        </w:rPr>
      </w:pPr>
      <w:r w:rsidRPr="005A0ABF">
        <w:rPr>
          <w:sz w:val="24"/>
          <w:szCs w:val="24"/>
        </w:rPr>
        <w:t xml:space="preserve">O artigo de </w:t>
      </w:r>
      <w:proofErr w:type="spellStart"/>
      <w:r w:rsidRPr="005A0ABF">
        <w:rPr>
          <w:sz w:val="24"/>
          <w:szCs w:val="24"/>
        </w:rPr>
        <w:t>Carraher</w:t>
      </w:r>
      <w:proofErr w:type="spellEnd"/>
      <w:r w:rsidRPr="005A0ABF">
        <w:rPr>
          <w:sz w:val="24"/>
          <w:szCs w:val="24"/>
        </w:rPr>
        <w:t xml:space="preserve"> et al. (1982) analisa a questão do fracasso escolar no Brasil em suas várias dimensões, enfatizando, contudo, o “enfoque institucional do fracasso escolar” (p. 81). Investiga-se como o conhecimento matemático é produzido e mobilizado fora do ambiente escolar, especificamente por crianças e adolescentes de baixa renda envolvidos em atividades comerciais populares.</w:t>
      </w:r>
    </w:p>
    <w:p w14:paraId="4DE084D9" w14:textId="77777777" w:rsidR="005B0CAB" w:rsidRPr="005A0ABF" w:rsidRDefault="005B0CAB" w:rsidP="005B0CAB">
      <w:pPr>
        <w:spacing w:line="360" w:lineRule="auto"/>
        <w:ind w:firstLine="708"/>
        <w:jc w:val="both"/>
        <w:rPr>
          <w:sz w:val="24"/>
          <w:szCs w:val="24"/>
        </w:rPr>
      </w:pPr>
      <w:r w:rsidRPr="005A0ABF">
        <w:rPr>
          <w:sz w:val="24"/>
          <w:szCs w:val="24"/>
        </w:rPr>
        <w:t>Nessas situações cotidianas, os participantes realizavam frequentemente operações básicas, utilizando o cálculo mental, com um índice predominante de acertos, enquanto os testes formais, evidenciaram significativa redução no desempenho. Cuja sistematização por algoritmos padronizados revelou-se, muitas vezes, um obstáculo ao raciocínio da criança.</w:t>
      </w:r>
    </w:p>
    <w:p w14:paraId="3955470F" w14:textId="3F03CD08" w:rsidR="005B0CAB" w:rsidRPr="005A0ABF" w:rsidRDefault="005B0CAB" w:rsidP="005B0CAB">
      <w:pPr>
        <w:spacing w:line="360" w:lineRule="auto"/>
        <w:ind w:firstLine="708"/>
        <w:jc w:val="both"/>
        <w:rPr>
          <w:sz w:val="24"/>
          <w:szCs w:val="24"/>
        </w:rPr>
      </w:pPr>
      <w:r w:rsidRPr="005A0ABF">
        <w:rPr>
          <w:sz w:val="24"/>
          <w:szCs w:val="24"/>
        </w:rPr>
        <w:t>A análise dos dados sugere que, se o sujeito resolve problemas matemáticos na vida prática, mas fracassa diante da forma escolar</w:t>
      </w:r>
      <w:r w:rsidR="00A93837" w:rsidRPr="005A0ABF">
        <w:rPr>
          <w:sz w:val="24"/>
          <w:szCs w:val="24"/>
        </w:rPr>
        <w:t xml:space="preserve">, </w:t>
      </w:r>
      <w:r w:rsidRPr="005A0ABF">
        <w:rPr>
          <w:sz w:val="24"/>
          <w:szCs w:val="24"/>
        </w:rPr>
        <w:t>que muitas vezes desconsidera os conhecimentos já construídos em suas experiências cotidianas e desconhece os processos pelos quais el</w:t>
      </w:r>
      <w:r w:rsidR="00A93837" w:rsidRPr="005A0ABF">
        <w:rPr>
          <w:sz w:val="24"/>
          <w:szCs w:val="24"/>
        </w:rPr>
        <w:t>e</w:t>
      </w:r>
      <w:r w:rsidRPr="005A0ABF">
        <w:rPr>
          <w:sz w:val="24"/>
          <w:szCs w:val="24"/>
        </w:rPr>
        <w:t xml:space="preserve"> aprende fora d</w:t>
      </w:r>
      <w:r w:rsidR="00A93837" w:rsidRPr="005A0ABF">
        <w:rPr>
          <w:sz w:val="24"/>
          <w:szCs w:val="24"/>
        </w:rPr>
        <w:t xml:space="preserve">a </w:t>
      </w:r>
      <w:r w:rsidRPr="005A0ABF">
        <w:rPr>
          <w:sz w:val="24"/>
          <w:szCs w:val="24"/>
        </w:rPr>
        <w:t>escola</w:t>
      </w:r>
      <w:r w:rsidR="00A93837" w:rsidRPr="005A0ABF">
        <w:rPr>
          <w:sz w:val="24"/>
          <w:szCs w:val="24"/>
        </w:rPr>
        <w:t>.</w:t>
      </w:r>
    </w:p>
    <w:p w14:paraId="1793E1AB" w14:textId="77777777" w:rsidR="005B0CAB" w:rsidRPr="005A0ABF" w:rsidRDefault="005B0CAB" w:rsidP="005B0CAB">
      <w:pPr>
        <w:spacing w:line="360" w:lineRule="auto"/>
        <w:ind w:firstLine="708"/>
        <w:jc w:val="both"/>
        <w:rPr>
          <w:sz w:val="24"/>
          <w:szCs w:val="24"/>
        </w:rPr>
      </w:pPr>
    </w:p>
    <w:p w14:paraId="1F452115" w14:textId="4449458D" w:rsidR="005B0CAB" w:rsidRPr="005A0ABF" w:rsidRDefault="005B0CAB" w:rsidP="005B0CAB">
      <w:pPr>
        <w:spacing w:line="360" w:lineRule="auto"/>
        <w:jc w:val="both"/>
        <w:rPr>
          <w:b/>
          <w:bCs/>
          <w:sz w:val="24"/>
          <w:szCs w:val="24"/>
        </w:rPr>
      </w:pPr>
      <w:r w:rsidRPr="005A0ABF">
        <w:rPr>
          <w:b/>
          <w:bCs/>
          <w:sz w:val="24"/>
          <w:szCs w:val="24"/>
        </w:rPr>
        <w:t>ETNOMATEMÁTICA E DECOLONIALIDADE: QUAIS SABERES SÃO RECONHECIDOS?</w:t>
      </w:r>
    </w:p>
    <w:p w14:paraId="3A12F2CE" w14:textId="77777777" w:rsidR="005B0CAB" w:rsidRPr="005A0ABF" w:rsidRDefault="005B0CAB" w:rsidP="005B0CAB">
      <w:pPr>
        <w:spacing w:line="360" w:lineRule="auto"/>
        <w:ind w:firstLine="708"/>
        <w:jc w:val="both"/>
        <w:rPr>
          <w:b/>
          <w:bCs/>
          <w:sz w:val="24"/>
          <w:szCs w:val="24"/>
        </w:rPr>
      </w:pPr>
    </w:p>
    <w:p w14:paraId="4EDD8BD0" w14:textId="0C48BEC3" w:rsidR="00A93837" w:rsidRPr="004807C0" w:rsidRDefault="005B0CAB" w:rsidP="00A93837">
      <w:pPr>
        <w:spacing w:line="360" w:lineRule="auto"/>
        <w:ind w:firstLine="708"/>
        <w:jc w:val="both"/>
        <w:rPr>
          <w:sz w:val="24"/>
          <w:szCs w:val="24"/>
        </w:rPr>
      </w:pPr>
      <w:r w:rsidRPr="004807C0">
        <w:rPr>
          <w:sz w:val="24"/>
          <w:szCs w:val="24"/>
        </w:rPr>
        <w:t xml:space="preserve">Partindo da concepção de Paulo Freire de que a educação é um ato político, compreende-se que a Educação Matemática também não constitui um campo neutro (D’Ambrósio, 2011). </w:t>
      </w:r>
      <w:r w:rsidR="004807C0" w:rsidRPr="004807C0">
        <w:rPr>
          <w:sz w:val="24"/>
          <w:szCs w:val="24"/>
        </w:rPr>
        <w:t>Knijnik (2012) problematiza a centralidade da matemática escolar eurocêntrica, evidenciando que determinados saberes são legitimados enquanto outros permanecem invisibilizados ou desvalorizados nos processos de escolarização.</w:t>
      </w:r>
    </w:p>
    <w:p w14:paraId="172E0333" w14:textId="1030A297" w:rsidR="005B0CAB" w:rsidRDefault="005B0CAB" w:rsidP="00A93837">
      <w:pPr>
        <w:spacing w:line="360" w:lineRule="auto"/>
        <w:ind w:firstLine="708"/>
        <w:jc w:val="both"/>
        <w:rPr>
          <w:sz w:val="24"/>
          <w:szCs w:val="24"/>
        </w:rPr>
      </w:pPr>
      <w:r w:rsidRPr="005A0ABF">
        <w:rPr>
          <w:sz w:val="24"/>
          <w:szCs w:val="24"/>
        </w:rPr>
        <w:lastRenderedPageBreak/>
        <w:t xml:space="preserve">Essa compreensão amplia a discussão apresentada por </w:t>
      </w:r>
      <w:proofErr w:type="spellStart"/>
      <w:r w:rsidRPr="005A0ABF">
        <w:rPr>
          <w:sz w:val="24"/>
          <w:szCs w:val="24"/>
        </w:rPr>
        <w:t>Carraher</w:t>
      </w:r>
      <w:proofErr w:type="spellEnd"/>
      <w:r w:rsidRPr="005A0ABF">
        <w:rPr>
          <w:sz w:val="24"/>
          <w:szCs w:val="24"/>
        </w:rPr>
        <w:t xml:space="preserve"> </w:t>
      </w:r>
      <w:r w:rsidRPr="005A0ABF">
        <w:rPr>
          <w:i/>
          <w:iCs/>
          <w:sz w:val="24"/>
          <w:szCs w:val="24"/>
        </w:rPr>
        <w:t>et al</w:t>
      </w:r>
      <w:r w:rsidRPr="005A0ABF">
        <w:rPr>
          <w:sz w:val="24"/>
          <w:szCs w:val="24"/>
        </w:rPr>
        <w:t>.  (1982), pois permite questionar não apenas as diferenças entre os contextos cotidiano e escolar de mobilização do conhecimento matemático, mas também as relações de poder que atravessam o reconhecimento e a legitimação desses saberes, pois nem todos os conhecimentos ocupam a mesma posição de legitimidade em nossa sociedade (Knijnik, 201</w:t>
      </w:r>
      <w:r w:rsidR="004807C0">
        <w:rPr>
          <w:sz w:val="24"/>
          <w:szCs w:val="24"/>
        </w:rPr>
        <w:t>2</w:t>
      </w:r>
      <w:r w:rsidRPr="005A0ABF">
        <w:rPr>
          <w:sz w:val="24"/>
          <w:szCs w:val="24"/>
        </w:rPr>
        <w:t xml:space="preserve">). </w:t>
      </w:r>
    </w:p>
    <w:p w14:paraId="5B3D7FC9" w14:textId="42C02437" w:rsidR="005B0CAB" w:rsidRPr="005A0ABF" w:rsidRDefault="005B0CAB" w:rsidP="005B0CAB">
      <w:pPr>
        <w:spacing w:line="360" w:lineRule="auto"/>
        <w:ind w:firstLine="708"/>
        <w:jc w:val="both"/>
        <w:rPr>
          <w:sz w:val="24"/>
          <w:szCs w:val="24"/>
        </w:rPr>
      </w:pPr>
      <w:r w:rsidRPr="005A0ABF">
        <w:rPr>
          <w:sz w:val="24"/>
          <w:szCs w:val="24"/>
        </w:rPr>
        <w:t xml:space="preserve">As situações analisadas por </w:t>
      </w:r>
      <w:proofErr w:type="spellStart"/>
      <w:r w:rsidRPr="005A0ABF">
        <w:rPr>
          <w:sz w:val="24"/>
          <w:szCs w:val="24"/>
        </w:rPr>
        <w:t>Carraher</w:t>
      </w:r>
      <w:proofErr w:type="spellEnd"/>
      <w:r w:rsidRPr="005A0ABF">
        <w:rPr>
          <w:sz w:val="24"/>
          <w:szCs w:val="24"/>
        </w:rPr>
        <w:t xml:space="preserve"> </w:t>
      </w:r>
      <w:r w:rsidRPr="005A0ABF">
        <w:rPr>
          <w:i/>
          <w:iCs/>
          <w:sz w:val="24"/>
          <w:szCs w:val="24"/>
        </w:rPr>
        <w:t>et al</w:t>
      </w:r>
      <w:r w:rsidRPr="005A0ABF">
        <w:rPr>
          <w:sz w:val="24"/>
          <w:szCs w:val="24"/>
        </w:rPr>
        <w:t xml:space="preserve">. (1982) podem ser colocadas em diálogo com a Etnomatemática, ao evidenciarem que conhecimentos matemáticos são produzidos e mobilizados em diferentes práticas sociais e culturais (D’Ambrósio, 2011), reconhecendo uma etnomatemática do cotidiano, do comércio, que não é aprendida nas escolas, no entanto uma </w:t>
      </w:r>
      <w:r w:rsidR="00A93837" w:rsidRPr="005A0ABF">
        <w:rPr>
          <w:sz w:val="24"/>
          <w:szCs w:val="24"/>
        </w:rPr>
        <w:t xml:space="preserve">prática </w:t>
      </w:r>
      <w:r w:rsidRPr="005A0ABF">
        <w:rPr>
          <w:sz w:val="24"/>
          <w:szCs w:val="24"/>
        </w:rPr>
        <w:t xml:space="preserve">sofisticada para lidar com o dinheiro (D’Ambrósio, 2011). </w:t>
      </w:r>
    </w:p>
    <w:p w14:paraId="615C2E10" w14:textId="59714D02" w:rsidR="005B0CAB" w:rsidRPr="005A0ABF" w:rsidRDefault="005B0CAB" w:rsidP="005B0CAB">
      <w:pPr>
        <w:spacing w:line="360" w:lineRule="auto"/>
        <w:ind w:firstLine="708"/>
        <w:jc w:val="both"/>
        <w:rPr>
          <w:sz w:val="24"/>
          <w:szCs w:val="24"/>
        </w:rPr>
      </w:pPr>
      <w:r w:rsidRPr="005A0ABF">
        <w:rPr>
          <w:sz w:val="24"/>
          <w:szCs w:val="24"/>
        </w:rPr>
        <w:t>Para D’Ambrósio (2011), a matemática acadêmica, originada e desenvolvida na Europa, com toda a sua precisão e rigor, é uma etnomatemática, no entanto disseminada e imposta a todo o mundo. O sistema de educação colonial é apontado p</w:t>
      </w:r>
      <w:r w:rsidR="00A93837" w:rsidRPr="005A0ABF">
        <w:rPr>
          <w:sz w:val="24"/>
          <w:szCs w:val="24"/>
        </w:rPr>
        <w:t>elo autor</w:t>
      </w:r>
      <w:r w:rsidRPr="005A0ABF">
        <w:rPr>
          <w:sz w:val="24"/>
          <w:szCs w:val="24"/>
        </w:rPr>
        <w:t xml:space="preserve"> como perverso, por menosprezar o conhecimento popular e remover os vínculos históricos dos sujeitos com suas próprias raízes culturais. Visto que “as crianças resolviam bem os problemas através de técnicas que não são aproveitadas pela escola, embora funcionem bem e levem ao resultado certo” (</w:t>
      </w:r>
      <w:proofErr w:type="spellStart"/>
      <w:r w:rsidRPr="005A0ABF">
        <w:rPr>
          <w:sz w:val="24"/>
          <w:szCs w:val="24"/>
        </w:rPr>
        <w:t>Carraher</w:t>
      </w:r>
      <w:proofErr w:type="spellEnd"/>
      <w:r w:rsidRPr="005A0ABF">
        <w:rPr>
          <w:sz w:val="24"/>
          <w:szCs w:val="24"/>
        </w:rPr>
        <w:t xml:space="preserve"> </w:t>
      </w:r>
      <w:r w:rsidRPr="005A0ABF">
        <w:rPr>
          <w:i/>
          <w:iCs/>
          <w:sz w:val="24"/>
          <w:szCs w:val="24"/>
        </w:rPr>
        <w:t>et al</w:t>
      </w:r>
      <w:r w:rsidRPr="005A0ABF">
        <w:rPr>
          <w:sz w:val="24"/>
          <w:szCs w:val="24"/>
        </w:rPr>
        <w:t>., 1982, p. 85).</w:t>
      </w:r>
    </w:p>
    <w:p w14:paraId="44043FF1" w14:textId="1F59F993" w:rsidR="00C64F6B" w:rsidRPr="00C64F6B" w:rsidRDefault="005B0CAB" w:rsidP="00C64F6B">
      <w:pPr>
        <w:spacing w:line="360" w:lineRule="auto"/>
        <w:ind w:firstLine="708"/>
        <w:jc w:val="both"/>
        <w:rPr>
          <w:sz w:val="24"/>
          <w:szCs w:val="24"/>
        </w:rPr>
      </w:pPr>
      <w:r w:rsidRPr="005A0ABF">
        <w:rPr>
          <w:sz w:val="24"/>
          <w:szCs w:val="24"/>
        </w:rPr>
        <w:t xml:space="preserve">A perspectiva decolonial permite questionar essas relações de poder presentes na legitimação dos conhecimentos, denunciando que a matemática acadêmica tem servido como um instrumento selecionador de elites e de dominação, em que não basta resolver uma questão matemática corretamente, é preciso seguir o mesmo processo padrão de desenvolvimento. (D’Ambrósio, 2011). </w:t>
      </w:r>
      <w:r w:rsidR="00C64F6B">
        <w:rPr>
          <w:sz w:val="24"/>
          <w:szCs w:val="24"/>
        </w:rPr>
        <w:t xml:space="preserve">Resultando em uma matemática escolar </w:t>
      </w:r>
      <w:r w:rsidR="00C64F6B" w:rsidRPr="00C64F6B">
        <w:rPr>
          <w:sz w:val="24"/>
          <w:szCs w:val="24"/>
        </w:rPr>
        <w:t>que naturaliza determinados conhecimentos como universais e superiores, relegando outras formas de matematizar</w:t>
      </w:r>
      <w:r w:rsidR="00C64F6B">
        <w:rPr>
          <w:sz w:val="24"/>
          <w:szCs w:val="24"/>
        </w:rPr>
        <w:t xml:space="preserve"> (</w:t>
      </w:r>
      <w:r w:rsidR="00C64F6B" w:rsidRPr="004807C0">
        <w:rPr>
          <w:sz w:val="24"/>
          <w:szCs w:val="24"/>
        </w:rPr>
        <w:t>Knijnik</w:t>
      </w:r>
      <w:r w:rsidR="00C64F6B">
        <w:rPr>
          <w:sz w:val="24"/>
          <w:szCs w:val="24"/>
        </w:rPr>
        <w:t xml:space="preserve">, </w:t>
      </w:r>
      <w:r w:rsidR="00C64F6B" w:rsidRPr="004807C0">
        <w:rPr>
          <w:sz w:val="24"/>
          <w:szCs w:val="24"/>
        </w:rPr>
        <w:t>2012)</w:t>
      </w:r>
      <w:r w:rsidR="00C64F6B">
        <w:rPr>
          <w:sz w:val="24"/>
          <w:szCs w:val="24"/>
        </w:rPr>
        <w:t>.</w:t>
      </w:r>
    </w:p>
    <w:p w14:paraId="0ABCB0A1" w14:textId="77777777" w:rsidR="00041758" w:rsidRPr="005A0ABF" w:rsidRDefault="00041758" w:rsidP="005B0CAB">
      <w:pPr>
        <w:spacing w:line="360" w:lineRule="auto"/>
        <w:jc w:val="both"/>
        <w:rPr>
          <w:sz w:val="24"/>
          <w:szCs w:val="24"/>
        </w:rPr>
      </w:pPr>
    </w:p>
    <w:p w14:paraId="1A81C82C" w14:textId="0DA84070" w:rsidR="005B0CAB" w:rsidRPr="005A0ABF" w:rsidRDefault="005B0CAB" w:rsidP="005B0CAB">
      <w:pPr>
        <w:spacing w:line="360" w:lineRule="auto"/>
        <w:jc w:val="both"/>
        <w:rPr>
          <w:b/>
          <w:bCs/>
          <w:sz w:val="24"/>
          <w:szCs w:val="24"/>
        </w:rPr>
      </w:pPr>
      <w:r w:rsidRPr="005A0ABF">
        <w:rPr>
          <w:b/>
          <w:bCs/>
          <w:sz w:val="24"/>
          <w:szCs w:val="24"/>
        </w:rPr>
        <w:t>CONSIDERAÇÕES FIN</w:t>
      </w:r>
      <w:r w:rsidR="00041758" w:rsidRPr="005A0ABF">
        <w:rPr>
          <w:b/>
          <w:bCs/>
          <w:sz w:val="24"/>
          <w:szCs w:val="24"/>
        </w:rPr>
        <w:t xml:space="preserve">AIS: </w:t>
      </w:r>
      <w:r w:rsidRPr="005A0ABF">
        <w:rPr>
          <w:b/>
          <w:bCs/>
          <w:sz w:val="24"/>
          <w:szCs w:val="24"/>
        </w:rPr>
        <w:t>DIÁLOGOS POSSÍVEIS</w:t>
      </w:r>
    </w:p>
    <w:p w14:paraId="7FE8FFF8" w14:textId="77777777" w:rsidR="005B0CAB" w:rsidRPr="005A0ABF" w:rsidRDefault="005B0CAB" w:rsidP="005B0CAB">
      <w:pPr>
        <w:spacing w:line="360" w:lineRule="auto"/>
        <w:jc w:val="both"/>
        <w:rPr>
          <w:b/>
          <w:bCs/>
          <w:sz w:val="24"/>
          <w:szCs w:val="24"/>
        </w:rPr>
      </w:pPr>
    </w:p>
    <w:p w14:paraId="28B0D1F2" w14:textId="77777777" w:rsidR="005B0CAB" w:rsidRPr="005A0ABF" w:rsidRDefault="005B0CAB" w:rsidP="005B0CAB">
      <w:pPr>
        <w:spacing w:line="360" w:lineRule="auto"/>
        <w:ind w:firstLine="708"/>
        <w:jc w:val="both"/>
        <w:rPr>
          <w:sz w:val="24"/>
          <w:szCs w:val="24"/>
        </w:rPr>
      </w:pPr>
      <w:r w:rsidRPr="005A0ABF">
        <w:rPr>
          <w:sz w:val="24"/>
          <w:szCs w:val="24"/>
        </w:rPr>
        <w:t xml:space="preserve">O tensionamento entre a matemática idealizada e a matemática contextualizada e praticada, não é recente, visto que mais de quatro décadas separa </w:t>
      </w:r>
      <w:r w:rsidRPr="005A0ABF">
        <w:rPr>
          <w:sz w:val="24"/>
          <w:szCs w:val="24"/>
        </w:rPr>
        <w:lastRenderedPageBreak/>
        <w:t xml:space="preserve">o artigo de </w:t>
      </w:r>
      <w:proofErr w:type="spellStart"/>
      <w:r w:rsidRPr="005A0ABF">
        <w:rPr>
          <w:sz w:val="24"/>
          <w:szCs w:val="24"/>
        </w:rPr>
        <w:t>Carraher</w:t>
      </w:r>
      <w:proofErr w:type="spellEnd"/>
      <w:r w:rsidRPr="005A0ABF">
        <w:rPr>
          <w:sz w:val="24"/>
          <w:szCs w:val="24"/>
        </w:rPr>
        <w:t xml:space="preserve"> (1982) e a nossa discussão neste estudo, o que revela a prevalência desse antagonismo. Evidencia-se que o conhecimento e o desempenho matemático são atravessados pelo contexto, a Etnomatemática amplia essa discussão ao reconhecer a existência de diferentes formas de produzir e mobilizar conhecimentos matemáticos. Enquanto a perspectiva decolonial permite problematizar por que algumas dessas formas são legitimadas e outras ocupam posições inferiores e invisibilizadas.</w:t>
      </w:r>
    </w:p>
    <w:p w14:paraId="08805259" w14:textId="77777777" w:rsidR="00C64F6B" w:rsidRDefault="005B0CAB" w:rsidP="00C64F6B">
      <w:pPr>
        <w:spacing w:line="360" w:lineRule="auto"/>
        <w:ind w:firstLine="708"/>
        <w:jc w:val="both"/>
        <w:rPr>
          <w:sz w:val="24"/>
          <w:szCs w:val="24"/>
        </w:rPr>
      </w:pPr>
      <w:r w:rsidRPr="005A0ABF">
        <w:rPr>
          <w:sz w:val="24"/>
          <w:szCs w:val="24"/>
        </w:rPr>
        <w:t>O “zero” atribuído pela escola, pode revelar não apenas aquilo que o sujeito ainda não sabe, mas também os limites da própria instituição escolar para reconhecer como conhecimento matemático saberes produzidos em outros contextos, visto que cada etnomatemática serve às necessidades de um grupo (D’Ambrósio, 2011</w:t>
      </w:r>
      <w:r w:rsidR="005A0ABF" w:rsidRPr="005A0ABF">
        <w:rPr>
          <w:sz w:val="24"/>
          <w:szCs w:val="24"/>
        </w:rPr>
        <w:t>)</w:t>
      </w:r>
      <w:r w:rsidRPr="005A0ABF">
        <w:rPr>
          <w:sz w:val="24"/>
          <w:szCs w:val="24"/>
        </w:rPr>
        <w:t xml:space="preserve">. </w:t>
      </w:r>
      <w:r w:rsidR="00C64F6B" w:rsidRPr="00C64F6B">
        <w:rPr>
          <w:sz w:val="24"/>
          <w:szCs w:val="24"/>
        </w:rPr>
        <w:t>O fracasso escolar, portanto, está intrinsecamente relacionado às relações de poder que legitimam determinados conhecimentos matemáticos e invisibilizam outros nos currículos escolares (Knijnik, 2012).</w:t>
      </w:r>
    </w:p>
    <w:p w14:paraId="7ADAD6A6" w14:textId="00A6DB5C" w:rsidR="00041758" w:rsidRDefault="00C64F6B" w:rsidP="00C64F6B">
      <w:pPr>
        <w:spacing w:line="360" w:lineRule="auto"/>
        <w:ind w:firstLine="708"/>
        <w:jc w:val="both"/>
        <w:rPr>
          <w:sz w:val="24"/>
          <w:szCs w:val="24"/>
        </w:rPr>
      </w:pPr>
      <w:r>
        <w:rPr>
          <w:sz w:val="24"/>
          <w:szCs w:val="24"/>
        </w:rPr>
        <w:t>Nessa perspectiva, r</w:t>
      </w:r>
      <w:r w:rsidR="005B0CAB" w:rsidRPr="005A0ABF">
        <w:rPr>
          <w:sz w:val="24"/>
          <w:szCs w:val="24"/>
        </w:rPr>
        <w:t xml:space="preserve">econhecer outros saberes matemáticos não significa rejeitar ou desvalorizar o conhecimento matemático escolar, pois D’Ambrósio (2011), defende a coexistência pacífica das múltiplas formas de fazer matemática.  A questão consiste em problematizar sua apresentação como única forma legítima de conhecimento e construir possibilidades de diálogo com os saberes produzidos pelos sujeitos em suas experiências sociais e culturais. E “a etnomatemática se encaixa nessa reflexão sobre a descolonização e na procura de reais possibilidades de acesso para o subordinado, para o marginalizado e para o excluído” (D’Ambrósio, 2011, p. 42). </w:t>
      </w:r>
    </w:p>
    <w:p w14:paraId="2A1E9E85" w14:textId="77777777" w:rsidR="00C64F6B" w:rsidRPr="005A0ABF" w:rsidRDefault="00C64F6B" w:rsidP="00C64F6B">
      <w:pPr>
        <w:spacing w:line="360" w:lineRule="auto"/>
        <w:ind w:firstLine="708"/>
        <w:jc w:val="both"/>
        <w:rPr>
          <w:sz w:val="24"/>
          <w:szCs w:val="24"/>
        </w:rPr>
      </w:pPr>
    </w:p>
    <w:p w14:paraId="4C474639" w14:textId="3C6E9F1C" w:rsidR="00AE75D7" w:rsidRPr="005A0ABF" w:rsidRDefault="00000000" w:rsidP="00041758">
      <w:pPr>
        <w:spacing w:after="160" w:line="360" w:lineRule="auto"/>
        <w:jc w:val="both"/>
        <w:rPr>
          <w:sz w:val="24"/>
          <w:szCs w:val="24"/>
        </w:rPr>
      </w:pPr>
      <w:r w:rsidRPr="005A0ABF">
        <w:rPr>
          <w:b/>
          <w:bCs/>
          <w:sz w:val="24"/>
          <w:szCs w:val="24"/>
        </w:rPr>
        <w:t>PALAVRAS-CHAVE</w:t>
      </w:r>
    </w:p>
    <w:p w14:paraId="1C1020C7" w14:textId="3DAF8862" w:rsidR="008936D1" w:rsidRPr="005A0ABF" w:rsidRDefault="00C64F6B">
      <w:pPr>
        <w:keepLines/>
        <w:widowControl w:val="0"/>
        <w:spacing w:line="360" w:lineRule="auto"/>
        <w:jc w:val="both"/>
      </w:pPr>
      <w:r w:rsidRPr="005A0ABF">
        <w:t>Matemática</w:t>
      </w:r>
      <w:r>
        <w:t xml:space="preserve">; </w:t>
      </w:r>
      <w:r w:rsidR="008936D1" w:rsidRPr="005A0ABF">
        <w:t xml:space="preserve">Etnomatemática; </w:t>
      </w:r>
      <w:r w:rsidR="00D41ED9">
        <w:t xml:space="preserve">Educação Matemática; </w:t>
      </w:r>
      <w:r w:rsidR="005A0ABF" w:rsidRPr="005A0ABF">
        <w:t>Decolonialidade</w:t>
      </w:r>
      <w:r>
        <w:t>.</w:t>
      </w:r>
    </w:p>
    <w:p w14:paraId="5D4BC08B" w14:textId="77777777" w:rsidR="00AE75D7" w:rsidRPr="005A0ABF" w:rsidRDefault="00AE75D7">
      <w:pPr>
        <w:keepLines/>
        <w:widowControl w:val="0"/>
        <w:spacing w:line="240" w:lineRule="auto"/>
        <w:rPr>
          <w:sz w:val="24"/>
          <w:szCs w:val="24"/>
        </w:rPr>
      </w:pPr>
    </w:p>
    <w:p w14:paraId="3E268A35" w14:textId="77777777" w:rsidR="00AE75D7" w:rsidRPr="005A0ABF" w:rsidRDefault="00AE75D7">
      <w:pPr>
        <w:keepLines/>
        <w:widowControl w:val="0"/>
        <w:spacing w:line="240" w:lineRule="auto"/>
        <w:rPr>
          <w:b/>
          <w:bCs/>
          <w:sz w:val="24"/>
          <w:szCs w:val="24"/>
        </w:rPr>
      </w:pPr>
    </w:p>
    <w:p w14:paraId="6790FACD" w14:textId="77777777" w:rsidR="00AE75D7" w:rsidRPr="005A0ABF" w:rsidRDefault="00000000">
      <w:pPr>
        <w:keepLines/>
        <w:widowControl w:val="0"/>
        <w:spacing w:line="240" w:lineRule="auto"/>
        <w:rPr>
          <w:sz w:val="24"/>
          <w:szCs w:val="24"/>
        </w:rPr>
      </w:pPr>
      <w:r w:rsidRPr="005A0ABF">
        <w:rPr>
          <w:b/>
          <w:bCs/>
          <w:sz w:val="24"/>
          <w:szCs w:val="24"/>
        </w:rPr>
        <w:t>REFERÊNCIAS</w:t>
      </w:r>
      <w:r w:rsidRPr="005A0ABF">
        <w:rPr>
          <w:sz w:val="24"/>
          <w:szCs w:val="24"/>
        </w:rPr>
        <w:t xml:space="preserve"> </w:t>
      </w:r>
    </w:p>
    <w:p w14:paraId="3FF28BB9" w14:textId="71A6674A" w:rsidR="00AE75D7" w:rsidRPr="005A0ABF" w:rsidRDefault="00AE75D7">
      <w:pPr>
        <w:keepLines/>
        <w:widowControl w:val="0"/>
        <w:spacing w:line="240" w:lineRule="auto"/>
        <w:rPr>
          <w:sz w:val="24"/>
          <w:szCs w:val="24"/>
        </w:rPr>
      </w:pPr>
    </w:p>
    <w:p w14:paraId="5BC52C3E" w14:textId="3869AA92" w:rsidR="009F1C84" w:rsidRPr="009F1C84" w:rsidRDefault="00041758" w:rsidP="009F1C84">
      <w:pPr>
        <w:keepLines/>
        <w:widowControl w:val="0"/>
        <w:spacing w:line="240" w:lineRule="auto"/>
        <w:rPr>
          <w:sz w:val="24"/>
          <w:szCs w:val="24"/>
        </w:rPr>
      </w:pPr>
      <w:r w:rsidRPr="005A0ABF">
        <w:rPr>
          <w:sz w:val="24"/>
          <w:szCs w:val="24"/>
        </w:rPr>
        <w:t>C</w:t>
      </w:r>
      <w:r w:rsidR="009F1C84" w:rsidRPr="009F1C84">
        <w:rPr>
          <w:sz w:val="24"/>
          <w:szCs w:val="24"/>
        </w:rPr>
        <w:t>ARRAHER, T</w:t>
      </w:r>
      <w:r w:rsidR="009F1C84" w:rsidRPr="005A0ABF">
        <w:rPr>
          <w:sz w:val="24"/>
          <w:szCs w:val="24"/>
        </w:rPr>
        <w:t>.</w:t>
      </w:r>
      <w:r w:rsidR="009F1C84" w:rsidRPr="009F1C84">
        <w:rPr>
          <w:sz w:val="24"/>
          <w:szCs w:val="24"/>
        </w:rPr>
        <w:t xml:space="preserve"> N</w:t>
      </w:r>
      <w:r w:rsidR="009F1C84" w:rsidRPr="005A0ABF">
        <w:rPr>
          <w:sz w:val="24"/>
          <w:szCs w:val="24"/>
        </w:rPr>
        <w:t>.</w:t>
      </w:r>
      <w:r w:rsidR="009F1C84" w:rsidRPr="009F1C84">
        <w:rPr>
          <w:sz w:val="24"/>
          <w:szCs w:val="24"/>
        </w:rPr>
        <w:t>; CARRAHER, D</w:t>
      </w:r>
      <w:r w:rsidR="009F1C84" w:rsidRPr="005A0ABF">
        <w:rPr>
          <w:sz w:val="24"/>
          <w:szCs w:val="24"/>
        </w:rPr>
        <w:t>.</w:t>
      </w:r>
      <w:r w:rsidR="009F1C84" w:rsidRPr="009F1C84">
        <w:rPr>
          <w:sz w:val="24"/>
          <w:szCs w:val="24"/>
        </w:rPr>
        <w:t xml:space="preserve"> W</w:t>
      </w:r>
      <w:r w:rsidR="009F1C84" w:rsidRPr="005A0ABF">
        <w:rPr>
          <w:sz w:val="24"/>
          <w:szCs w:val="24"/>
        </w:rPr>
        <w:t>.</w:t>
      </w:r>
      <w:r w:rsidR="009F1C84" w:rsidRPr="009F1C84">
        <w:rPr>
          <w:sz w:val="24"/>
          <w:szCs w:val="24"/>
        </w:rPr>
        <w:t>; SCHLIEMANN, A</w:t>
      </w:r>
      <w:r w:rsidR="009F1C84" w:rsidRPr="005A0ABF">
        <w:rPr>
          <w:sz w:val="24"/>
          <w:szCs w:val="24"/>
        </w:rPr>
        <w:t>.</w:t>
      </w:r>
      <w:r w:rsidR="009F1C84" w:rsidRPr="009F1C84">
        <w:rPr>
          <w:sz w:val="24"/>
          <w:szCs w:val="24"/>
        </w:rPr>
        <w:t xml:space="preserve"> </w:t>
      </w:r>
      <w:r w:rsidR="009F1C84" w:rsidRPr="005A0ABF">
        <w:rPr>
          <w:sz w:val="24"/>
          <w:szCs w:val="24"/>
        </w:rPr>
        <w:t>D.</w:t>
      </w:r>
      <w:r w:rsidR="009F1C84" w:rsidRPr="009F1C84">
        <w:rPr>
          <w:sz w:val="24"/>
          <w:szCs w:val="24"/>
        </w:rPr>
        <w:t xml:space="preserve"> Na vida, dez; na escola, zero: os contextos culturais da aprendizagem da matemática. </w:t>
      </w:r>
      <w:r w:rsidR="009F1C84" w:rsidRPr="00D41ED9">
        <w:rPr>
          <w:b/>
          <w:bCs/>
          <w:sz w:val="24"/>
          <w:szCs w:val="24"/>
        </w:rPr>
        <w:t>Cadernos de Pesquisa</w:t>
      </w:r>
      <w:r w:rsidR="009F1C84" w:rsidRPr="009F1C84">
        <w:rPr>
          <w:sz w:val="24"/>
          <w:szCs w:val="24"/>
        </w:rPr>
        <w:t xml:space="preserve">, São Paulo, n. 42, p. 79-86, ago. 1982. </w:t>
      </w:r>
    </w:p>
    <w:p w14:paraId="6760DF4C" w14:textId="77777777" w:rsidR="009F1C84" w:rsidRPr="005A0ABF" w:rsidRDefault="009F1C84" w:rsidP="009F1C84">
      <w:pPr>
        <w:keepLines/>
        <w:widowControl w:val="0"/>
        <w:spacing w:line="240" w:lineRule="auto"/>
        <w:rPr>
          <w:sz w:val="24"/>
          <w:szCs w:val="24"/>
        </w:rPr>
      </w:pPr>
    </w:p>
    <w:p w14:paraId="3186C1E7" w14:textId="62ECA2AF" w:rsidR="009F1C84" w:rsidRDefault="009F1C84" w:rsidP="009F1C84">
      <w:pPr>
        <w:keepLines/>
        <w:widowControl w:val="0"/>
        <w:spacing w:line="240" w:lineRule="auto"/>
        <w:rPr>
          <w:sz w:val="24"/>
          <w:szCs w:val="24"/>
        </w:rPr>
      </w:pPr>
      <w:r w:rsidRPr="009F1C84">
        <w:rPr>
          <w:sz w:val="24"/>
          <w:szCs w:val="24"/>
        </w:rPr>
        <w:lastRenderedPageBreak/>
        <w:t xml:space="preserve">D'AMBROSIO, U. </w:t>
      </w:r>
      <w:r w:rsidRPr="00D41ED9">
        <w:rPr>
          <w:b/>
          <w:bCs/>
          <w:sz w:val="24"/>
          <w:szCs w:val="24"/>
        </w:rPr>
        <w:t>Etnomatemática:</w:t>
      </w:r>
      <w:r w:rsidRPr="009F1C84">
        <w:rPr>
          <w:i/>
          <w:iCs/>
          <w:sz w:val="24"/>
          <w:szCs w:val="24"/>
        </w:rPr>
        <w:t xml:space="preserve"> </w:t>
      </w:r>
      <w:r w:rsidRPr="00D41ED9">
        <w:rPr>
          <w:sz w:val="24"/>
          <w:szCs w:val="24"/>
        </w:rPr>
        <w:t>elo entre as tradições e a modernidade. 3. ed. Belo Horizonte: Autêntica, 2011.</w:t>
      </w:r>
    </w:p>
    <w:p w14:paraId="51680638" w14:textId="77777777" w:rsidR="00D41ED9" w:rsidRDefault="00D41ED9" w:rsidP="009F1C84">
      <w:pPr>
        <w:keepLines/>
        <w:widowControl w:val="0"/>
        <w:spacing w:line="240" w:lineRule="auto"/>
        <w:rPr>
          <w:sz w:val="24"/>
          <w:szCs w:val="24"/>
        </w:rPr>
      </w:pPr>
    </w:p>
    <w:p w14:paraId="49B29D67" w14:textId="3F881EDD" w:rsidR="00D41ED9" w:rsidRPr="00D41ED9" w:rsidRDefault="00D41ED9" w:rsidP="009F1C84">
      <w:pPr>
        <w:keepLines/>
        <w:widowControl w:val="0"/>
        <w:spacing w:line="240" w:lineRule="auto"/>
        <w:rPr>
          <w:sz w:val="24"/>
          <w:szCs w:val="24"/>
        </w:rPr>
      </w:pPr>
      <w:r w:rsidRPr="00D41ED9">
        <w:rPr>
          <w:sz w:val="24"/>
          <w:szCs w:val="24"/>
        </w:rPr>
        <w:t>Gil, A</w:t>
      </w:r>
      <w:r>
        <w:rPr>
          <w:sz w:val="24"/>
          <w:szCs w:val="24"/>
        </w:rPr>
        <w:t>.</w:t>
      </w:r>
      <w:r w:rsidRPr="00D41ED9">
        <w:rPr>
          <w:sz w:val="24"/>
          <w:szCs w:val="24"/>
        </w:rPr>
        <w:t xml:space="preserve"> C</w:t>
      </w:r>
      <w:r>
        <w:rPr>
          <w:sz w:val="24"/>
          <w:szCs w:val="24"/>
        </w:rPr>
        <w:t>.</w:t>
      </w:r>
      <w:r w:rsidRPr="00D41ED9">
        <w:rPr>
          <w:sz w:val="24"/>
          <w:szCs w:val="24"/>
        </w:rPr>
        <w:t xml:space="preserve"> </w:t>
      </w:r>
      <w:r w:rsidRPr="00D41ED9">
        <w:rPr>
          <w:b/>
          <w:bCs/>
          <w:sz w:val="24"/>
          <w:szCs w:val="24"/>
        </w:rPr>
        <w:t>Como elaborar projet</w:t>
      </w:r>
      <w:r w:rsidRPr="00D41ED9">
        <w:rPr>
          <w:b/>
          <w:bCs/>
          <w:sz w:val="24"/>
          <w:szCs w:val="24"/>
        </w:rPr>
        <w:t>o</w:t>
      </w:r>
      <w:r w:rsidRPr="00D41ED9">
        <w:rPr>
          <w:b/>
          <w:bCs/>
          <w:sz w:val="24"/>
          <w:szCs w:val="24"/>
        </w:rPr>
        <w:t>s de pesquisa</w:t>
      </w:r>
      <w:r>
        <w:rPr>
          <w:sz w:val="24"/>
          <w:szCs w:val="24"/>
        </w:rPr>
        <w:t>.</w:t>
      </w:r>
      <w:r w:rsidRPr="00D41ED9">
        <w:rPr>
          <w:sz w:val="24"/>
          <w:szCs w:val="24"/>
        </w:rPr>
        <w:t xml:space="preserve"> 4. ed. São Paulo: Atlas, 2002.</w:t>
      </w:r>
    </w:p>
    <w:p w14:paraId="21E7D12F" w14:textId="77777777" w:rsidR="009F1C84" w:rsidRPr="009F1C84" w:rsidRDefault="009F1C84" w:rsidP="009F1C84">
      <w:pPr>
        <w:keepLines/>
        <w:widowControl w:val="0"/>
        <w:spacing w:line="240" w:lineRule="auto"/>
        <w:rPr>
          <w:sz w:val="24"/>
          <w:szCs w:val="24"/>
        </w:rPr>
      </w:pPr>
    </w:p>
    <w:p w14:paraId="1C57959F" w14:textId="34961FF9" w:rsidR="009F1C84" w:rsidRPr="00C64F6B" w:rsidRDefault="00C64F6B">
      <w:pPr>
        <w:keepLines/>
        <w:widowControl w:val="0"/>
        <w:spacing w:line="240" w:lineRule="auto"/>
        <w:rPr>
          <w:sz w:val="24"/>
          <w:szCs w:val="24"/>
        </w:rPr>
      </w:pPr>
      <w:r w:rsidRPr="00C64F6B">
        <w:rPr>
          <w:sz w:val="24"/>
          <w:szCs w:val="24"/>
        </w:rPr>
        <w:t xml:space="preserve">KNIJNIK, G. </w:t>
      </w:r>
      <w:proofErr w:type="spellStart"/>
      <w:r w:rsidRPr="00D41ED9">
        <w:rPr>
          <w:sz w:val="24"/>
          <w:szCs w:val="24"/>
        </w:rPr>
        <w:t>Differentially</w:t>
      </w:r>
      <w:proofErr w:type="spellEnd"/>
      <w:r w:rsidRPr="00D41ED9">
        <w:rPr>
          <w:sz w:val="24"/>
          <w:szCs w:val="24"/>
        </w:rPr>
        <w:t xml:space="preserve"> </w:t>
      </w:r>
      <w:proofErr w:type="spellStart"/>
      <w:r w:rsidRPr="00D41ED9">
        <w:rPr>
          <w:sz w:val="24"/>
          <w:szCs w:val="24"/>
        </w:rPr>
        <w:t>positioned</w:t>
      </w:r>
      <w:proofErr w:type="spellEnd"/>
      <w:r w:rsidRPr="00D41ED9">
        <w:rPr>
          <w:sz w:val="24"/>
          <w:szCs w:val="24"/>
        </w:rPr>
        <w:t xml:space="preserve"> </w:t>
      </w:r>
      <w:proofErr w:type="spellStart"/>
      <w:r w:rsidRPr="00D41ED9">
        <w:rPr>
          <w:sz w:val="24"/>
          <w:szCs w:val="24"/>
        </w:rPr>
        <w:t>language</w:t>
      </w:r>
      <w:proofErr w:type="spellEnd"/>
      <w:r w:rsidRPr="00D41ED9">
        <w:rPr>
          <w:sz w:val="24"/>
          <w:szCs w:val="24"/>
        </w:rPr>
        <w:t xml:space="preserve"> games: </w:t>
      </w:r>
      <w:proofErr w:type="spellStart"/>
      <w:r w:rsidRPr="00D41ED9">
        <w:rPr>
          <w:sz w:val="24"/>
          <w:szCs w:val="24"/>
        </w:rPr>
        <w:t>ethnomathematics</w:t>
      </w:r>
      <w:proofErr w:type="spellEnd"/>
      <w:r w:rsidRPr="00D41ED9">
        <w:rPr>
          <w:sz w:val="24"/>
          <w:szCs w:val="24"/>
        </w:rPr>
        <w:t xml:space="preserve"> </w:t>
      </w:r>
      <w:proofErr w:type="spellStart"/>
      <w:r w:rsidRPr="00D41ED9">
        <w:rPr>
          <w:sz w:val="24"/>
          <w:szCs w:val="24"/>
        </w:rPr>
        <w:t>from</w:t>
      </w:r>
      <w:proofErr w:type="spellEnd"/>
      <w:r w:rsidRPr="00D41ED9">
        <w:rPr>
          <w:sz w:val="24"/>
          <w:szCs w:val="24"/>
        </w:rPr>
        <w:t xml:space="preserve"> a </w:t>
      </w:r>
      <w:proofErr w:type="spellStart"/>
      <w:r w:rsidRPr="00D41ED9">
        <w:rPr>
          <w:sz w:val="24"/>
          <w:szCs w:val="24"/>
        </w:rPr>
        <w:t>philosophical</w:t>
      </w:r>
      <w:proofErr w:type="spellEnd"/>
      <w:r w:rsidRPr="00D41ED9">
        <w:rPr>
          <w:sz w:val="24"/>
          <w:szCs w:val="24"/>
        </w:rPr>
        <w:t xml:space="preserve"> perspective. </w:t>
      </w:r>
      <w:proofErr w:type="spellStart"/>
      <w:r w:rsidRPr="00D41ED9">
        <w:rPr>
          <w:b/>
          <w:bCs/>
          <w:sz w:val="24"/>
          <w:szCs w:val="24"/>
        </w:rPr>
        <w:t>Educational</w:t>
      </w:r>
      <w:proofErr w:type="spellEnd"/>
      <w:r w:rsidRPr="00D41ED9">
        <w:rPr>
          <w:b/>
          <w:bCs/>
          <w:sz w:val="24"/>
          <w:szCs w:val="24"/>
        </w:rPr>
        <w:t xml:space="preserve"> </w:t>
      </w:r>
      <w:proofErr w:type="spellStart"/>
      <w:r w:rsidRPr="00D41ED9">
        <w:rPr>
          <w:b/>
          <w:bCs/>
          <w:sz w:val="24"/>
          <w:szCs w:val="24"/>
        </w:rPr>
        <w:t>Studies</w:t>
      </w:r>
      <w:proofErr w:type="spellEnd"/>
      <w:r w:rsidRPr="00D41ED9">
        <w:rPr>
          <w:b/>
          <w:bCs/>
          <w:sz w:val="24"/>
          <w:szCs w:val="24"/>
        </w:rPr>
        <w:t xml:space="preserve"> in </w:t>
      </w:r>
      <w:proofErr w:type="spellStart"/>
      <w:r w:rsidRPr="00D41ED9">
        <w:rPr>
          <w:b/>
          <w:bCs/>
          <w:sz w:val="24"/>
          <w:szCs w:val="24"/>
        </w:rPr>
        <w:t>Mathematics</w:t>
      </w:r>
      <w:proofErr w:type="spellEnd"/>
      <w:r w:rsidRPr="00D41ED9">
        <w:rPr>
          <w:sz w:val="24"/>
          <w:szCs w:val="24"/>
        </w:rPr>
        <w:t>,</w:t>
      </w:r>
      <w:r w:rsidRPr="00C64F6B">
        <w:rPr>
          <w:sz w:val="24"/>
          <w:szCs w:val="24"/>
        </w:rPr>
        <w:t xml:space="preserve"> Dordrecht, v. 80, n. 1-2, p. 87-100, 2012.</w:t>
      </w:r>
    </w:p>
    <w:p w14:paraId="56E71EB5" w14:textId="77777777" w:rsidR="00AE75D7" w:rsidRPr="005A0ABF" w:rsidRDefault="00AE75D7"/>
    <w:p w14:paraId="7B91F22C" w14:textId="77777777" w:rsidR="00AE75D7" w:rsidRPr="005A0ABF" w:rsidRDefault="00AE75D7">
      <w:pPr>
        <w:spacing w:after="200" w:line="240" w:lineRule="auto"/>
        <w:jc w:val="both"/>
        <w:rPr>
          <w:b/>
          <w:bCs/>
          <w:sz w:val="24"/>
          <w:szCs w:val="24"/>
        </w:rPr>
      </w:pPr>
    </w:p>
    <w:sectPr w:rsidR="00AE75D7" w:rsidRPr="005A0ABF">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35ED8" w14:textId="77777777" w:rsidR="00F65FB5" w:rsidRDefault="00F65FB5">
      <w:pPr>
        <w:spacing w:line="240" w:lineRule="auto"/>
      </w:pPr>
      <w:r>
        <w:separator/>
      </w:r>
    </w:p>
  </w:endnote>
  <w:endnote w:type="continuationSeparator" w:id="0">
    <w:p w14:paraId="781EC1E5" w14:textId="77777777" w:rsidR="00F65FB5" w:rsidRDefault="00F65F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0586F97-5C75-46AF-9026-B75CEBCB42A5}"/>
    <w:embedBold r:id="rId2" w:fontKey="{344EB8C0-0642-4B26-BB96-6B3FA7368223}"/>
  </w:font>
  <w:font w:name="Calibri">
    <w:panose1 w:val="020F0502020204030204"/>
    <w:charset w:val="00"/>
    <w:family w:val="swiss"/>
    <w:pitch w:val="variable"/>
    <w:sig w:usb0="E4002EFF" w:usb1="C200247B" w:usb2="00000009" w:usb3="00000000" w:csb0="000001FF" w:csb1="00000000"/>
    <w:embedRegular r:id="rId3" w:fontKey="{1DBFD2B1-81F0-4132-8717-55E5EB2B18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7D8C" w14:textId="77777777" w:rsidR="00AE75D7" w:rsidRDefault="00000000">
    <w:pPr>
      <w:jc w:val="center"/>
    </w:pPr>
    <w:r>
      <w:fldChar w:fldCharType="begin"/>
    </w:r>
    <w:r>
      <w:instrText>PAGE</w:instrText>
    </w:r>
    <w:r>
      <w:fldChar w:fldCharType="separate"/>
    </w:r>
    <w:r w:rsidR="005B0CA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8D035" w14:textId="77777777" w:rsidR="00AE75D7" w:rsidRDefault="00AE75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41389" w14:textId="77777777" w:rsidR="00F65FB5" w:rsidRDefault="00F65FB5">
      <w:pPr>
        <w:spacing w:line="240" w:lineRule="auto"/>
      </w:pPr>
      <w:r>
        <w:separator/>
      </w:r>
    </w:p>
  </w:footnote>
  <w:footnote w:type="continuationSeparator" w:id="0">
    <w:p w14:paraId="2B601411" w14:textId="77777777" w:rsidR="00F65FB5" w:rsidRDefault="00F65F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2D3F" w14:textId="77777777" w:rsidR="00AE75D7" w:rsidRDefault="00000000">
    <w:pPr>
      <w:jc w:val="right"/>
    </w:pPr>
    <w:r>
      <w:rPr>
        <w:noProof/>
      </w:rPr>
      <w:drawing>
        <wp:anchor distT="114300" distB="114300" distL="114300" distR="114300" simplePos="0" relativeHeight="251658240" behindDoc="1" locked="0" layoutInCell="1" hidden="0" allowOverlap="1" wp14:anchorId="370C850E" wp14:editId="76593EC0">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58C955B1" wp14:editId="3EE95093">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458495B7" w14:textId="77777777" w:rsidR="00AE75D7" w:rsidRDefault="00AE75D7">
    <w:pPr>
      <w:jc w:val="right"/>
    </w:pPr>
  </w:p>
  <w:p w14:paraId="0A70606E" w14:textId="77777777" w:rsidR="00AE75D7" w:rsidRDefault="00AE75D7">
    <w:pPr>
      <w:jc w:val="right"/>
    </w:pPr>
  </w:p>
  <w:p w14:paraId="1430125D" w14:textId="77777777" w:rsidR="00AE75D7" w:rsidRDefault="00000000">
    <w:r>
      <w:rPr>
        <w:noProof/>
      </w:rPr>
      <w:drawing>
        <wp:anchor distT="114300" distB="114300" distL="114300" distR="114300" simplePos="0" relativeHeight="251660288" behindDoc="1" locked="0" layoutInCell="1" hidden="0" allowOverlap="1" wp14:anchorId="17C4F91D" wp14:editId="7A957B9D">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C887" w14:textId="77777777" w:rsidR="00AE75D7" w:rsidRDefault="00AE75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81ED9"/>
    <w:multiLevelType w:val="hybridMultilevel"/>
    <w:tmpl w:val="3B2A033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38121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5D7"/>
    <w:rsid w:val="00002987"/>
    <w:rsid w:val="00041758"/>
    <w:rsid w:val="001A46EC"/>
    <w:rsid w:val="004807C0"/>
    <w:rsid w:val="005A0ABF"/>
    <w:rsid w:val="005B0CAB"/>
    <w:rsid w:val="00663D79"/>
    <w:rsid w:val="00734932"/>
    <w:rsid w:val="008641FC"/>
    <w:rsid w:val="008936D1"/>
    <w:rsid w:val="009F1C84"/>
    <w:rsid w:val="00A93837"/>
    <w:rsid w:val="00AE75D7"/>
    <w:rsid w:val="00C32286"/>
    <w:rsid w:val="00C54435"/>
    <w:rsid w:val="00C64F6B"/>
    <w:rsid w:val="00D41ED9"/>
    <w:rsid w:val="00E72776"/>
    <w:rsid w:val="00F65FB5"/>
    <w:rsid w:val="00FE7A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54740"/>
  <w15:docId w15:val="{3C11FCD8-2B1E-44E0-A41C-0CA7F5407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argrafodaLista">
    <w:name w:val="List Paragraph"/>
    <w:basedOn w:val="Normal"/>
    <w:uiPriority w:val="34"/>
    <w:qFormat/>
    <w:rsid w:val="005B0CAB"/>
    <w:pPr>
      <w:spacing w:after="160" w:line="259" w:lineRule="auto"/>
      <w:ind w:left="720"/>
      <w:contextualSpacing/>
    </w:pPr>
    <w:rPr>
      <w:rFonts w:asciiTheme="minorHAnsi" w:eastAsiaTheme="minorHAnsi"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5</Pages>
  <Words>1113</Words>
  <Characters>6894</Characters>
  <Application>Microsoft Office Word</Application>
  <DocSecurity>0</DocSecurity>
  <Lines>144</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14</cp:revision>
  <dcterms:created xsi:type="dcterms:W3CDTF">2026-07-16T01:20:00Z</dcterms:created>
  <dcterms:modified xsi:type="dcterms:W3CDTF">2026-07-22T13:25:00Z</dcterms:modified>
</cp:coreProperties>
</file>