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5FC" w:rsidRPr="00CE193E" w:rsidRDefault="00CE193E">
      <w:pPr>
        <w:keepLines/>
        <w:widowControl w:val="0"/>
        <w:spacing w:line="240" w:lineRule="auto"/>
        <w:jc w:val="center"/>
        <w:rPr>
          <w:b/>
          <w:bCs/>
          <w:sz w:val="28"/>
          <w:szCs w:val="24"/>
        </w:rPr>
      </w:pPr>
      <w:r w:rsidRPr="00CE193E">
        <w:rPr>
          <w:b/>
          <w:sz w:val="24"/>
        </w:rPr>
        <w:t>EDUCAÇÃO ANTIRRACISTA NA EDUCAÇÃO BÁSICA: EDUCANDO PARA AS RELAÇÕES ÉTNICO-RACIAIS</w:t>
      </w:r>
    </w:p>
    <w:p w:rsidR="00F015FC" w:rsidRDefault="00F015FC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F015FC" w:rsidRDefault="00F015FC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CE193E" w:rsidRPr="00515A58" w:rsidRDefault="00CE193E" w:rsidP="00CE193E">
      <w:pPr>
        <w:jc w:val="center"/>
        <w:rPr>
          <w:b/>
          <w:sz w:val="28"/>
          <w:szCs w:val="24"/>
        </w:rPr>
      </w:pPr>
      <w:r w:rsidRPr="00515A58">
        <w:rPr>
          <w:b/>
          <w:bCs/>
          <w:sz w:val="28"/>
          <w:szCs w:val="24"/>
        </w:rPr>
        <w:t xml:space="preserve"> </w:t>
      </w:r>
      <w:r w:rsidR="00515A58" w:rsidRPr="00515A58">
        <w:rPr>
          <w:b/>
          <w:sz w:val="24"/>
        </w:rPr>
        <w:t xml:space="preserve">A </w:t>
      </w:r>
      <w:proofErr w:type="spellStart"/>
      <w:r w:rsidR="00515A58" w:rsidRPr="00515A58">
        <w:rPr>
          <w:b/>
          <w:sz w:val="24"/>
        </w:rPr>
        <w:t>interseccionalidade</w:t>
      </w:r>
      <w:proofErr w:type="spellEnd"/>
      <w:r w:rsidR="00515A58" w:rsidRPr="00515A58">
        <w:rPr>
          <w:b/>
          <w:sz w:val="24"/>
        </w:rPr>
        <w:t xml:space="preserve"> como ferramenta teórico-metodológica na análise das representações de mulheres quilombolas e indígenas em livros didáticos de História e Geografia do Ensino Médio</w:t>
      </w:r>
    </w:p>
    <w:p w:rsidR="00F015FC" w:rsidRDefault="001E33ED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:rsidR="00F015FC" w:rsidRDefault="00F015FC">
      <w:pPr>
        <w:keepLines/>
        <w:widowControl w:val="0"/>
        <w:spacing w:line="240" w:lineRule="auto"/>
        <w:rPr>
          <w:sz w:val="24"/>
          <w:szCs w:val="24"/>
        </w:rPr>
      </w:pPr>
    </w:p>
    <w:p w:rsidR="00F015FC" w:rsidRDefault="00F015FC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:rsidR="00F015FC" w:rsidRDefault="00CE193E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Kelly Natalina dos Santos</w:t>
      </w:r>
      <w:r w:rsidR="001E33ED">
        <w:rPr>
          <w:sz w:val="24"/>
          <w:szCs w:val="24"/>
        </w:rPr>
        <w:t xml:space="preserve">1, </w:t>
      </w:r>
      <w:r>
        <w:rPr>
          <w:sz w:val="24"/>
          <w:szCs w:val="24"/>
        </w:rPr>
        <w:t>Universidade do Estado de Minas Gerais</w:t>
      </w:r>
    </w:p>
    <w:p w:rsidR="00F015FC" w:rsidRDefault="00CE193E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Rogéria Cristina Alves</w:t>
      </w:r>
      <w:r w:rsidR="001E33ED">
        <w:rPr>
          <w:sz w:val="24"/>
          <w:szCs w:val="24"/>
        </w:rPr>
        <w:t xml:space="preserve"> 2, </w:t>
      </w:r>
      <w:r>
        <w:rPr>
          <w:sz w:val="24"/>
          <w:szCs w:val="24"/>
        </w:rPr>
        <w:t>Universidade do Estado de Minas Gerais</w:t>
      </w:r>
    </w:p>
    <w:p w:rsidR="00F015FC" w:rsidRDefault="00F015FC">
      <w:pPr>
        <w:keepLines/>
        <w:widowControl w:val="0"/>
        <w:spacing w:line="240" w:lineRule="auto"/>
        <w:rPr>
          <w:sz w:val="24"/>
          <w:szCs w:val="24"/>
        </w:rPr>
      </w:pPr>
    </w:p>
    <w:p w:rsidR="00F015FC" w:rsidRDefault="00F015FC">
      <w:pPr>
        <w:keepLines/>
        <w:widowControl w:val="0"/>
        <w:spacing w:line="240" w:lineRule="auto"/>
        <w:rPr>
          <w:sz w:val="24"/>
          <w:szCs w:val="24"/>
        </w:rPr>
      </w:pPr>
    </w:p>
    <w:p w:rsidR="00F015FC" w:rsidRDefault="00F015FC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:rsidR="00F015FC" w:rsidRDefault="001E33ED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:rsidR="00F015FC" w:rsidRDefault="00F015FC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:rsidR="00CE193E" w:rsidRPr="00CE193E" w:rsidRDefault="00CE193E" w:rsidP="00CE193E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CE193E">
        <w:rPr>
          <w:rFonts w:ascii="Arial" w:hAnsi="Arial" w:cs="Arial"/>
        </w:rPr>
        <w:t>Os livros didáticos desempenham papel fundamental na mediação do conhecimento e na construção de valores, identidades e representações sociais, influenciando a forma como diferentes grupos são reconhecidos no espaço escolar. Para Bittencour</w:t>
      </w:r>
      <w:bookmarkStart w:id="0" w:name="_GoBack"/>
      <w:bookmarkEnd w:id="0"/>
      <w:r w:rsidRPr="00CE193E">
        <w:rPr>
          <w:rFonts w:ascii="Arial" w:hAnsi="Arial" w:cs="Arial"/>
        </w:rPr>
        <w:t xml:space="preserve">t (1993), esses materiais constituem não apenas instrumentos pedagógicos, mas também veículos de produção e difusão de valores, culturas e ideologias. Assim, as representações de mulheres indígenas e quilombolas presentes nos livros didáticos merecem atenção, pois podem contribuir tanto para o reconhecimento da diversidade étnico-racial quanto para a reprodução de processos de invisibilização e </w:t>
      </w:r>
      <w:proofErr w:type="spellStart"/>
      <w:r w:rsidRPr="00CE193E">
        <w:rPr>
          <w:rFonts w:ascii="Arial" w:hAnsi="Arial" w:cs="Arial"/>
        </w:rPr>
        <w:t>estereotipação</w:t>
      </w:r>
      <w:proofErr w:type="spellEnd"/>
      <w:r w:rsidRPr="00CE193E">
        <w:rPr>
          <w:rFonts w:ascii="Arial" w:hAnsi="Arial" w:cs="Arial"/>
        </w:rPr>
        <w:t>.</w:t>
      </w:r>
    </w:p>
    <w:p w:rsidR="00CE193E" w:rsidRPr="00CE193E" w:rsidRDefault="00CE193E" w:rsidP="00CE193E">
      <w:pPr>
        <w:pStyle w:val="NormalWeb"/>
        <w:spacing w:line="360" w:lineRule="auto"/>
        <w:jc w:val="both"/>
        <w:rPr>
          <w:rFonts w:ascii="Arial" w:hAnsi="Arial" w:cs="Arial"/>
        </w:rPr>
      </w:pPr>
      <w:r w:rsidRPr="00CE193E">
        <w:rPr>
          <w:rFonts w:ascii="Arial" w:hAnsi="Arial" w:cs="Arial"/>
        </w:rPr>
        <w:t>Embora as Leis nº 10.639/2003 e nº 11.645/2008 tenham ampliado a obrigatoriedade do ensino da História e Cultura Afro-Brasileira, Africana e Indígena, e a Lei nº 14.986/2024 reforce a valorização das perspectivas femininas no currículo escolar, permanece o desafio de compreender como as representações de mulheres indígenas e quilombolas são construídas nos materiais didáticos.</w:t>
      </w:r>
    </w:p>
    <w:p w:rsidR="00CE193E" w:rsidRPr="00CE193E" w:rsidRDefault="00CE193E" w:rsidP="00CE193E">
      <w:pPr>
        <w:pStyle w:val="NormalWeb"/>
        <w:spacing w:line="360" w:lineRule="auto"/>
        <w:jc w:val="both"/>
        <w:rPr>
          <w:rFonts w:ascii="Arial" w:hAnsi="Arial" w:cs="Arial"/>
        </w:rPr>
      </w:pPr>
      <w:r w:rsidRPr="00CE193E">
        <w:rPr>
          <w:rFonts w:ascii="Arial" w:hAnsi="Arial" w:cs="Arial"/>
        </w:rPr>
        <w:t xml:space="preserve">Nesse contexto, a </w:t>
      </w:r>
      <w:proofErr w:type="spellStart"/>
      <w:r w:rsidRPr="00CE193E">
        <w:rPr>
          <w:rFonts w:ascii="Arial" w:hAnsi="Arial" w:cs="Arial"/>
        </w:rPr>
        <w:t>interseccionalidade</w:t>
      </w:r>
      <w:proofErr w:type="spellEnd"/>
      <w:r w:rsidRPr="00CE193E">
        <w:rPr>
          <w:rFonts w:ascii="Arial" w:hAnsi="Arial" w:cs="Arial"/>
        </w:rPr>
        <w:t xml:space="preserve">, conforme </w:t>
      </w:r>
      <w:proofErr w:type="spellStart"/>
      <w:r w:rsidRPr="00CE193E">
        <w:rPr>
          <w:rFonts w:ascii="Arial" w:hAnsi="Arial" w:cs="Arial"/>
        </w:rPr>
        <w:t>Patricia</w:t>
      </w:r>
      <w:proofErr w:type="spellEnd"/>
      <w:r w:rsidRPr="00CE193E">
        <w:rPr>
          <w:rFonts w:ascii="Arial" w:hAnsi="Arial" w:cs="Arial"/>
        </w:rPr>
        <w:t xml:space="preserve"> Hill Collins e </w:t>
      </w:r>
      <w:proofErr w:type="spellStart"/>
      <w:r w:rsidRPr="00CE193E">
        <w:rPr>
          <w:rFonts w:ascii="Arial" w:hAnsi="Arial" w:cs="Arial"/>
        </w:rPr>
        <w:t>Sirma</w:t>
      </w:r>
      <w:proofErr w:type="spellEnd"/>
      <w:r w:rsidRPr="00CE193E">
        <w:rPr>
          <w:rFonts w:ascii="Arial" w:hAnsi="Arial" w:cs="Arial"/>
        </w:rPr>
        <w:t xml:space="preserve"> Bilge (2021), constitui uma perspectiva teórico-metodológica que compreende as desigualdades a partir da articulação entre diferentes sistemas de poder. Diferentemente de abordagens centradas exclusivamente no gênero, essa perspectiva evidencia que as experiências de mulheres indígenas e quilombolas são atravessadas simultaneamente por relações de gênero, raça, etnia, territorialidade, classe e colonialidade, produzindo formas específicas </w:t>
      </w:r>
      <w:r w:rsidRPr="00CE193E">
        <w:rPr>
          <w:rFonts w:ascii="Arial" w:hAnsi="Arial" w:cs="Arial"/>
        </w:rPr>
        <w:lastRenderedPageBreak/>
        <w:t>de exclusão, invisibilizaçã</w:t>
      </w:r>
      <w:r>
        <w:rPr>
          <w:rFonts w:ascii="Arial" w:hAnsi="Arial" w:cs="Arial"/>
        </w:rPr>
        <w:t>o e subalternização. Assim</w:t>
      </w:r>
      <w:r w:rsidRPr="00CE193E">
        <w:rPr>
          <w:rFonts w:ascii="Arial" w:hAnsi="Arial" w:cs="Arial"/>
        </w:rPr>
        <w:t xml:space="preserve">, a </w:t>
      </w:r>
      <w:proofErr w:type="spellStart"/>
      <w:r w:rsidRPr="00CE193E">
        <w:rPr>
          <w:rFonts w:ascii="Arial" w:hAnsi="Arial" w:cs="Arial"/>
        </w:rPr>
        <w:t>interseccionalidade</w:t>
      </w:r>
      <w:proofErr w:type="spellEnd"/>
      <w:r w:rsidRPr="00CE193E">
        <w:rPr>
          <w:rFonts w:ascii="Arial" w:hAnsi="Arial" w:cs="Arial"/>
        </w:rPr>
        <w:t xml:space="preserve"> possibilita análises contextualizadas, evitando generalizações sobre a categoria "mulheres" e reconhecendo a diversidade de experiências e posições sociais.</w:t>
      </w:r>
    </w:p>
    <w:p w:rsidR="00CE193E" w:rsidRPr="00CE193E" w:rsidRDefault="00CE193E" w:rsidP="00CE193E">
      <w:pPr>
        <w:pStyle w:val="NormalWeb"/>
        <w:spacing w:line="360" w:lineRule="auto"/>
        <w:jc w:val="both"/>
        <w:rPr>
          <w:rFonts w:ascii="Arial" w:hAnsi="Arial" w:cs="Arial"/>
        </w:rPr>
      </w:pPr>
      <w:r w:rsidRPr="00CE193E">
        <w:rPr>
          <w:rFonts w:ascii="Arial" w:hAnsi="Arial" w:cs="Arial"/>
        </w:rPr>
        <w:t xml:space="preserve">Este trabalho está vinculado à pesquisa de mestrado em desenvolvimento no Programa de Pós-Graduação em Educação da Universidade do Estado de Minas Gerais (UEMG), cujo objetivo é analisar as representações de mulheres indígenas e quilombolas em livros didáticos de História e Geografia do Ensino Médio aprovados pelo Programa Nacional do Livro e do Material Didático (PNLD). A análise buscará compreender não apenas a presença ou ausência dessas mulheres, mas também os papéis que lhes são atribuídos, os espaços sociais que ocupam, suas formas de participação política, social e cultural e a presença de estereótipos, </w:t>
      </w:r>
      <w:proofErr w:type="spellStart"/>
      <w:r w:rsidRPr="00CE193E">
        <w:rPr>
          <w:rFonts w:ascii="Arial" w:hAnsi="Arial" w:cs="Arial"/>
        </w:rPr>
        <w:t>silenciamentos</w:t>
      </w:r>
      <w:proofErr w:type="spellEnd"/>
      <w:r w:rsidRPr="00CE193E">
        <w:rPr>
          <w:rFonts w:ascii="Arial" w:hAnsi="Arial" w:cs="Arial"/>
        </w:rPr>
        <w:t xml:space="preserve"> ou representações que reconheçam sua atuação histórica e coletiva.</w:t>
      </w:r>
    </w:p>
    <w:p w:rsidR="00CE193E" w:rsidRPr="00CE193E" w:rsidRDefault="00515A58" w:rsidP="00CE193E">
      <w:pPr>
        <w:pStyle w:val="NormalWeb"/>
        <w:spacing w:line="360" w:lineRule="auto"/>
        <w:jc w:val="both"/>
        <w:rPr>
          <w:rFonts w:ascii="Arial" w:hAnsi="Arial" w:cs="Arial"/>
        </w:rPr>
      </w:pPr>
      <w:r w:rsidRPr="00515A58">
        <w:rPr>
          <w:rFonts w:ascii="Arial" w:hAnsi="Arial" w:cs="Arial"/>
        </w:rPr>
        <w:t>A análise qualitativa será orientada pela perspectiva interseccional proposta por Collins e Bilge (2021)</w:t>
      </w:r>
      <w:r w:rsidR="00C43813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="00CE193E" w:rsidRPr="00CE193E">
        <w:rPr>
          <w:rFonts w:ascii="Arial" w:hAnsi="Arial" w:cs="Arial"/>
        </w:rPr>
        <w:t>Como categorias analíticas, serão mobilizados os domínios de po</w:t>
      </w:r>
      <w:r>
        <w:rPr>
          <w:rFonts w:ascii="Arial" w:hAnsi="Arial" w:cs="Arial"/>
        </w:rPr>
        <w:t>der propostos pelas autoras</w:t>
      </w:r>
      <w:r w:rsidR="00CE193E" w:rsidRPr="00CE193E">
        <w:rPr>
          <w:rFonts w:ascii="Arial" w:hAnsi="Arial" w:cs="Arial"/>
        </w:rPr>
        <w:t>: o domínio estrutural, relacionado às políticas públicas, ao PNLD, às editoras e ao currículo; o domínio disciplinar, referente aos processos de seleção e legitimação dos conhecimentos escolares; o domínio cultural, voltado às narrativas, símbolos e estereótipos presentes nos livros didáticos; e o domínio interpessoal, que permite refletir sobre os efeitos dessas representações nas relações estabelecidas no contexto escolar.</w:t>
      </w:r>
    </w:p>
    <w:p w:rsidR="00CE193E" w:rsidRPr="00CE193E" w:rsidRDefault="00CE193E" w:rsidP="00CE193E">
      <w:pPr>
        <w:pStyle w:val="NormalWeb"/>
        <w:spacing w:line="360" w:lineRule="auto"/>
        <w:jc w:val="both"/>
        <w:rPr>
          <w:rFonts w:ascii="Arial" w:hAnsi="Arial" w:cs="Arial"/>
        </w:rPr>
      </w:pPr>
      <w:r w:rsidRPr="00CE193E">
        <w:rPr>
          <w:rFonts w:ascii="Arial" w:hAnsi="Arial" w:cs="Arial"/>
        </w:rPr>
        <w:t xml:space="preserve">Conclui-se que a </w:t>
      </w:r>
      <w:proofErr w:type="spellStart"/>
      <w:r w:rsidRPr="00CE193E">
        <w:rPr>
          <w:rFonts w:ascii="Arial" w:hAnsi="Arial" w:cs="Arial"/>
        </w:rPr>
        <w:t>interseccionalidade</w:t>
      </w:r>
      <w:proofErr w:type="spellEnd"/>
      <w:r w:rsidRPr="00CE193E">
        <w:rPr>
          <w:rFonts w:ascii="Arial" w:hAnsi="Arial" w:cs="Arial"/>
        </w:rPr>
        <w:t xml:space="preserve"> amplia as possibilidades de compreensão das representações de mulheres indígenas e quilombolas ao evidenciar que diferentes marcadores sociais atuam de forma articulada na produção das desigualdades. Mais do que identificar a presença ou ausência dessas mulheres nos livros didáticos, essa perspectiva permite problematizar como suas histórias, saberes, territórios e formas de participação social são representados. Espera-se, assim, contribuir para reflexões sobre a produção de materiais didáticos comprometidos com uma educação intercultural, </w:t>
      </w:r>
      <w:proofErr w:type="spellStart"/>
      <w:r w:rsidRPr="00CE193E">
        <w:rPr>
          <w:rFonts w:ascii="Arial" w:hAnsi="Arial" w:cs="Arial"/>
        </w:rPr>
        <w:t>decolonial</w:t>
      </w:r>
      <w:proofErr w:type="spellEnd"/>
      <w:r w:rsidRPr="00CE193E">
        <w:rPr>
          <w:rFonts w:ascii="Arial" w:hAnsi="Arial" w:cs="Arial"/>
        </w:rPr>
        <w:t xml:space="preserve"> e antirracista, pautada no reconhecimento da diversidade e no enfrentamento das desigualdades históricas.</w:t>
      </w:r>
    </w:p>
    <w:p w:rsidR="00F015FC" w:rsidRDefault="00F015FC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:rsidR="00CE792B" w:rsidRDefault="00CE792B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:rsidR="00CE193E" w:rsidRDefault="001E33ED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PALAVRAS-CHAVE</w:t>
      </w:r>
    </w:p>
    <w:p w:rsidR="00F015FC" w:rsidRPr="00CE3CBC" w:rsidRDefault="00CE193E" w:rsidP="00CE3CBC">
      <w:pPr>
        <w:keepLines/>
        <w:widowControl w:val="0"/>
        <w:spacing w:line="240" w:lineRule="auto"/>
        <w:jc w:val="both"/>
        <w:rPr>
          <w:b/>
          <w:bCs/>
        </w:rPr>
      </w:pPr>
      <w:proofErr w:type="spellStart"/>
      <w:r w:rsidRPr="00CE3CBC">
        <w:t>Interseccionalidade</w:t>
      </w:r>
      <w:proofErr w:type="spellEnd"/>
      <w:r w:rsidRPr="00CE3CBC">
        <w:t>; Representações sociais; Livros didáticos.</w:t>
      </w:r>
    </w:p>
    <w:p w:rsidR="00F015FC" w:rsidRDefault="00F015FC">
      <w:pPr>
        <w:keepLines/>
        <w:widowControl w:val="0"/>
        <w:spacing w:line="240" w:lineRule="auto"/>
        <w:rPr>
          <w:sz w:val="24"/>
          <w:szCs w:val="24"/>
        </w:rPr>
      </w:pPr>
    </w:p>
    <w:p w:rsidR="00F015FC" w:rsidRDefault="00F015FC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F015FC" w:rsidRDefault="001E33ED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:rsidR="00CE193E" w:rsidRPr="00746A4D" w:rsidRDefault="00CE193E" w:rsidP="00CE193E">
      <w:pPr>
        <w:spacing w:before="240" w:after="240" w:line="240" w:lineRule="auto"/>
        <w:jc w:val="both"/>
        <w:rPr>
          <w:rFonts w:eastAsia="Times New Roman"/>
          <w:sz w:val="24"/>
          <w:szCs w:val="24"/>
        </w:rPr>
      </w:pPr>
      <w:r w:rsidRPr="00746A4D">
        <w:rPr>
          <w:rFonts w:eastAsia="Times New Roman"/>
          <w:sz w:val="24"/>
          <w:szCs w:val="24"/>
        </w:rPr>
        <w:t xml:space="preserve">BITTENCOURT, Circe Maria Fernandes. </w:t>
      </w:r>
      <w:r w:rsidRPr="00746A4D">
        <w:rPr>
          <w:rFonts w:eastAsia="Times New Roman"/>
          <w:i/>
          <w:iCs/>
          <w:sz w:val="24"/>
          <w:szCs w:val="24"/>
        </w:rPr>
        <w:t>Livro didático e conhecimento histórico: uma história do saber escolar</w:t>
      </w:r>
      <w:r w:rsidRPr="00746A4D">
        <w:rPr>
          <w:rFonts w:eastAsia="Times New Roman"/>
          <w:sz w:val="24"/>
          <w:szCs w:val="24"/>
        </w:rPr>
        <w:t>. 1993. Tese (Doutorado em História) – Faculdade de Filosofia, Letras e Ciências Humanas, Universidade de São Paulo, São Paulo, 1993.</w:t>
      </w:r>
    </w:p>
    <w:p w:rsidR="00CE193E" w:rsidRPr="00746A4D" w:rsidRDefault="00CE193E" w:rsidP="00CE193E">
      <w:pPr>
        <w:spacing w:before="240" w:after="240" w:line="240" w:lineRule="auto"/>
        <w:jc w:val="both"/>
        <w:rPr>
          <w:rFonts w:eastAsia="Times New Roman"/>
          <w:sz w:val="24"/>
          <w:szCs w:val="24"/>
        </w:rPr>
      </w:pPr>
      <w:r w:rsidRPr="00746A4D">
        <w:rPr>
          <w:rFonts w:eastAsia="Times New Roman"/>
          <w:sz w:val="24"/>
          <w:szCs w:val="24"/>
        </w:rPr>
        <w:t>BRASIL. Lei nº 10.639, de 9 de janeiro de 2003. Altera a Lei nº 9.394, de 20 de dezembro de 1996, que estabelece as diretrizes e bases da educação nacional, para incluir no currículo oficial da Rede de Ensino a obrigatoriedade da temática "História e Cultura Afro-Brasileira", e dá outras providências. Brasília, DF: Presidência da República, 2003. Disponível em:</w:t>
      </w:r>
      <w:hyperlink r:id="rId7">
        <w:r w:rsidRPr="00746A4D">
          <w:rPr>
            <w:rFonts w:eastAsia="Times New Roman"/>
            <w:sz w:val="24"/>
            <w:szCs w:val="24"/>
          </w:rPr>
          <w:t xml:space="preserve"> </w:t>
        </w:r>
      </w:hyperlink>
      <w:hyperlink r:id="rId8">
        <w:r w:rsidRPr="00746A4D">
          <w:rPr>
            <w:rFonts w:eastAsia="Times New Roman"/>
            <w:color w:val="1155CC"/>
            <w:sz w:val="24"/>
            <w:szCs w:val="24"/>
            <w:u w:val="single"/>
          </w:rPr>
          <w:t>https://www.planalto.gov.br/ccivil_03/leis/2003/l10.639.htm</w:t>
        </w:r>
      </w:hyperlink>
      <w:r w:rsidRPr="00746A4D">
        <w:rPr>
          <w:rFonts w:eastAsia="Times New Roman"/>
          <w:sz w:val="24"/>
          <w:szCs w:val="24"/>
        </w:rPr>
        <w:t>. Acesso em: 16 jun. 2026.</w:t>
      </w:r>
    </w:p>
    <w:p w:rsidR="00CE193E" w:rsidRPr="00746A4D" w:rsidRDefault="00CE193E" w:rsidP="00CE193E">
      <w:pPr>
        <w:spacing w:before="240" w:after="240" w:line="240" w:lineRule="auto"/>
        <w:jc w:val="both"/>
        <w:rPr>
          <w:rFonts w:eastAsia="Times New Roman"/>
          <w:sz w:val="24"/>
          <w:szCs w:val="24"/>
        </w:rPr>
      </w:pPr>
      <w:r w:rsidRPr="00746A4D">
        <w:rPr>
          <w:rFonts w:eastAsia="Times New Roman"/>
          <w:sz w:val="24"/>
          <w:szCs w:val="24"/>
        </w:rPr>
        <w:t>BRASIL. Lei nº 11.645, de 10 de março de 2008. Altera a Lei nº 9.394, de 20 de dezembro de 1996, modificada pela Lei nº 10.639, de 9 de janeiro de 2003, que estabelece as diretrizes e bases da educação nacional, para incluir no currículo oficial da rede de ensino a obrigatoriedade da temática "História e Cultura Afro-Brasileira e Indígena". Brasília, DF: Presidência da República, 2008. Disponível em:</w:t>
      </w:r>
      <w:hyperlink r:id="rId9">
        <w:r w:rsidRPr="00746A4D">
          <w:rPr>
            <w:rFonts w:eastAsia="Times New Roman"/>
            <w:sz w:val="24"/>
            <w:szCs w:val="24"/>
          </w:rPr>
          <w:t xml:space="preserve"> </w:t>
        </w:r>
      </w:hyperlink>
      <w:hyperlink r:id="rId10">
        <w:r w:rsidRPr="00746A4D">
          <w:rPr>
            <w:rFonts w:eastAsia="Times New Roman"/>
            <w:color w:val="1155CC"/>
            <w:sz w:val="24"/>
            <w:szCs w:val="24"/>
            <w:u w:val="single"/>
          </w:rPr>
          <w:t>https://www.planalto.gov.br/ccivil_03/_ato2007-2010/2008/lei/l11645.htm</w:t>
        </w:r>
      </w:hyperlink>
      <w:r w:rsidRPr="00746A4D">
        <w:rPr>
          <w:rFonts w:eastAsia="Times New Roman"/>
          <w:sz w:val="24"/>
          <w:szCs w:val="24"/>
        </w:rPr>
        <w:t>. Acesso em: 16 jun. 2026.</w:t>
      </w:r>
    </w:p>
    <w:p w:rsidR="00CE193E" w:rsidRPr="00746A4D" w:rsidRDefault="00CE193E" w:rsidP="00CE193E">
      <w:pPr>
        <w:spacing w:before="240" w:after="240" w:line="240" w:lineRule="auto"/>
        <w:jc w:val="both"/>
        <w:rPr>
          <w:rFonts w:eastAsia="Times New Roman"/>
          <w:sz w:val="24"/>
          <w:szCs w:val="24"/>
        </w:rPr>
      </w:pPr>
      <w:r w:rsidRPr="00746A4D">
        <w:rPr>
          <w:rFonts w:eastAsia="Times New Roman"/>
          <w:sz w:val="24"/>
          <w:szCs w:val="24"/>
        </w:rPr>
        <w:t>BRASIL. Lei nº 14.986, de 25 de setembro de 2024. Institui a Semana de Valorização de Mulheres que Fizeram História. Brasília, DF: Presidência da República, 2024. Disponível em:</w:t>
      </w:r>
      <w:hyperlink r:id="rId11">
        <w:r w:rsidRPr="00746A4D">
          <w:rPr>
            <w:rFonts w:eastAsia="Times New Roman"/>
            <w:sz w:val="24"/>
            <w:szCs w:val="24"/>
          </w:rPr>
          <w:t xml:space="preserve"> </w:t>
        </w:r>
      </w:hyperlink>
      <w:hyperlink r:id="rId12">
        <w:r w:rsidRPr="00746A4D">
          <w:rPr>
            <w:rFonts w:eastAsia="Times New Roman"/>
            <w:color w:val="1155CC"/>
            <w:sz w:val="24"/>
            <w:szCs w:val="24"/>
            <w:u w:val="single"/>
          </w:rPr>
          <w:t>https://www.planalto.gov.br/ccivil_03/_ato2023-2026/2024/lei/l14986.htm</w:t>
        </w:r>
      </w:hyperlink>
      <w:r w:rsidRPr="00746A4D">
        <w:rPr>
          <w:rFonts w:eastAsia="Times New Roman"/>
          <w:sz w:val="24"/>
          <w:szCs w:val="24"/>
        </w:rPr>
        <w:t>. Acesso em: 16 jun. 2026.</w:t>
      </w:r>
    </w:p>
    <w:p w:rsidR="00CE193E" w:rsidRPr="00746A4D" w:rsidRDefault="00CE193E" w:rsidP="00CE193E">
      <w:pPr>
        <w:spacing w:before="240" w:after="240" w:line="240" w:lineRule="auto"/>
        <w:jc w:val="both"/>
        <w:rPr>
          <w:rFonts w:eastAsia="Times New Roman"/>
          <w:sz w:val="24"/>
          <w:szCs w:val="24"/>
        </w:rPr>
      </w:pPr>
      <w:r w:rsidRPr="00746A4D">
        <w:rPr>
          <w:rFonts w:eastAsia="Times New Roman"/>
          <w:sz w:val="24"/>
          <w:szCs w:val="24"/>
        </w:rPr>
        <w:t xml:space="preserve">BUTLER, Judith. </w:t>
      </w:r>
      <w:r w:rsidRPr="00746A4D">
        <w:rPr>
          <w:rFonts w:eastAsia="Times New Roman"/>
          <w:i/>
          <w:iCs/>
          <w:sz w:val="24"/>
          <w:szCs w:val="24"/>
        </w:rPr>
        <w:t>Problemas de gênero: feminismo e subversão da identidade</w:t>
      </w:r>
      <w:r w:rsidRPr="00746A4D">
        <w:rPr>
          <w:rFonts w:eastAsia="Times New Roman"/>
          <w:sz w:val="24"/>
          <w:szCs w:val="24"/>
        </w:rPr>
        <w:t>. Tradução de Renato Aguiar. Rio de Janeiro: Civilização Brasileira, 2010.</w:t>
      </w:r>
    </w:p>
    <w:p w:rsidR="00CE193E" w:rsidRPr="00746A4D" w:rsidRDefault="00CE193E" w:rsidP="00CE193E">
      <w:pPr>
        <w:spacing w:before="240" w:after="240" w:line="240" w:lineRule="auto"/>
        <w:jc w:val="both"/>
        <w:rPr>
          <w:rFonts w:eastAsia="Times New Roman"/>
          <w:sz w:val="24"/>
          <w:szCs w:val="24"/>
        </w:rPr>
      </w:pPr>
      <w:r w:rsidRPr="00746A4D">
        <w:rPr>
          <w:rFonts w:eastAsia="Times New Roman"/>
          <w:sz w:val="24"/>
          <w:szCs w:val="24"/>
        </w:rPr>
        <w:t xml:space="preserve">GRAÚNA, Graça. </w:t>
      </w:r>
      <w:r w:rsidRPr="00746A4D">
        <w:rPr>
          <w:rFonts w:eastAsia="Times New Roman"/>
          <w:i/>
          <w:iCs/>
          <w:sz w:val="24"/>
          <w:szCs w:val="24"/>
        </w:rPr>
        <w:t>Contrapontos da literatura indígena contemporânea no Brasil</w:t>
      </w:r>
      <w:r w:rsidRPr="00746A4D">
        <w:rPr>
          <w:rFonts w:eastAsia="Times New Roman"/>
          <w:sz w:val="24"/>
          <w:szCs w:val="24"/>
        </w:rPr>
        <w:t xml:space="preserve">. Belo Horizonte: </w:t>
      </w:r>
      <w:proofErr w:type="spellStart"/>
      <w:r w:rsidRPr="00746A4D">
        <w:rPr>
          <w:rFonts w:eastAsia="Times New Roman"/>
          <w:sz w:val="24"/>
          <w:szCs w:val="24"/>
        </w:rPr>
        <w:t>Mazza</w:t>
      </w:r>
      <w:proofErr w:type="spellEnd"/>
      <w:r w:rsidRPr="00746A4D">
        <w:rPr>
          <w:rFonts w:eastAsia="Times New Roman"/>
          <w:sz w:val="24"/>
          <w:szCs w:val="24"/>
        </w:rPr>
        <w:t xml:space="preserve"> Edições, 2013.</w:t>
      </w:r>
    </w:p>
    <w:p w:rsidR="00CE193E" w:rsidRPr="00746A4D" w:rsidRDefault="00CE193E" w:rsidP="00CE193E">
      <w:pPr>
        <w:spacing w:before="240" w:after="240" w:line="240" w:lineRule="auto"/>
        <w:jc w:val="both"/>
        <w:rPr>
          <w:rFonts w:eastAsia="Times New Roman"/>
          <w:sz w:val="24"/>
          <w:szCs w:val="24"/>
        </w:rPr>
      </w:pPr>
      <w:r w:rsidRPr="00746A4D">
        <w:rPr>
          <w:rFonts w:eastAsia="Times New Roman"/>
          <w:sz w:val="24"/>
          <w:szCs w:val="24"/>
        </w:rPr>
        <w:t xml:space="preserve">LACERDA, Paloma Pereira. </w:t>
      </w:r>
      <w:proofErr w:type="spellStart"/>
      <w:r w:rsidRPr="00746A4D">
        <w:rPr>
          <w:rFonts w:eastAsia="Times New Roman"/>
          <w:i/>
          <w:iCs/>
          <w:sz w:val="24"/>
          <w:szCs w:val="24"/>
        </w:rPr>
        <w:t>Slam</w:t>
      </w:r>
      <w:proofErr w:type="spellEnd"/>
      <w:r w:rsidRPr="00746A4D">
        <w:rPr>
          <w:rFonts w:eastAsia="Times New Roman"/>
          <w:i/>
          <w:iCs/>
          <w:sz w:val="24"/>
          <w:szCs w:val="24"/>
        </w:rPr>
        <w:t xml:space="preserve"> na escola: o quilombo na perspectiva de Beatriz Nascimento na contramão do quilombo nos livros didáticos</w:t>
      </w:r>
      <w:r w:rsidRPr="00746A4D">
        <w:rPr>
          <w:rFonts w:eastAsia="Times New Roman"/>
          <w:sz w:val="24"/>
          <w:szCs w:val="24"/>
        </w:rPr>
        <w:t>. 2024. 149 f. Dissertação (Mestrado Profissional em Ensino de História) – Universidade Federal de São Paulo, Escola de Filosofia, Letras e Ciências Humanas, Guarulhos, 2024.</w:t>
      </w:r>
    </w:p>
    <w:p w:rsidR="00CE193E" w:rsidRPr="00746A4D" w:rsidRDefault="00CE193E" w:rsidP="00CE193E">
      <w:pPr>
        <w:spacing w:before="240" w:after="240" w:line="240" w:lineRule="auto"/>
        <w:jc w:val="both"/>
        <w:rPr>
          <w:rFonts w:eastAsia="Times New Roman"/>
          <w:sz w:val="24"/>
          <w:szCs w:val="24"/>
        </w:rPr>
      </w:pPr>
      <w:r w:rsidRPr="00746A4D">
        <w:rPr>
          <w:rFonts w:eastAsia="Times New Roman"/>
          <w:sz w:val="24"/>
          <w:szCs w:val="24"/>
        </w:rPr>
        <w:t xml:space="preserve">NASCIMENTO, Beatriz. </w:t>
      </w:r>
      <w:r w:rsidRPr="00746A4D">
        <w:rPr>
          <w:rFonts w:eastAsia="Times New Roman"/>
          <w:i/>
          <w:iCs/>
          <w:sz w:val="24"/>
          <w:szCs w:val="24"/>
        </w:rPr>
        <w:t>Uma história feita por mãos negras: relações raciais, quilombos e movimentos</w:t>
      </w:r>
      <w:r w:rsidRPr="00746A4D">
        <w:rPr>
          <w:rFonts w:eastAsia="Times New Roman"/>
          <w:sz w:val="24"/>
          <w:szCs w:val="24"/>
        </w:rPr>
        <w:t xml:space="preserve">. Organização de Alex </w:t>
      </w:r>
      <w:proofErr w:type="spellStart"/>
      <w:r w:rsidRPr="00746A4D">
        <w:rPr>
          <w:rFonts w:eastAsia="Times New Roman"/>
          <w:sz w:val="24"/>
          <w:szCs w:val="24"/>
        </w:rPr>
        <w:t>Ratts</w:t>
      </w:r>
      <w:proofErr w:type="spellEnd"/>
      <w:r w:rsidRPr="00746A4D">
        <w:rPr>
          <w:rFonts w:eastAsia="Times New Roman"/>
          <w:sz w:val="24"/>
          <w:szCs w:val="24"/>
        </w:rPr>
        <w:t>. Rio de Janeiro: Zahar, 2021.</w:t>
      </w:r>
    </w:p>
    <w:p w:rsidR="00CE193E" w:rsidRPr="00746A4D" w:rsidRDefault="00CE193E" w:rsidP="00CE193E">
      <w:pPr>
        <w:spacing w:before="240" w:after="240" w:line="240" w:lineRule="auto"/>
        <w:jc w:val="both"/>
        <w:rPr>
          <w:rFonts w:eastAsia="Times New Roman"/>
          <w:sz w:val="24"/>
          <w:szCs w:val="24"/>
        </w:rPr>
      </w:pPr>
      <w:r w:rsidRPr="00746A4D">
        <w:rPr>
          <w:rFonts w:eastAsia="Times New Roman"/>
          <w:sz w:val="24"/>
          <w:szCs w:val="24"/>
        </w:rPr>
        <w:t xml:space="preserve">SANTOS, Daiane Felix dos. </w:t>
      </w:r>
      <w:r w:rsidRPr="00746A4D">
        <w:rPr>
          <w:rFonts w:eastAsia="Times New Roman"/>
          <w:i/>
          <w:iCs/>
          <w:sz w:val="24"/>
          <w:szCs w:val="24"/>
        </w:rPr>
        <w:t>História e cultura dos povos indígenas nos livros didáticos de História</w:t>
      </w:r>
      <w:r w:rsidRPr="00746A4D">
        <w:rPr>
          <w:rFonts w:eastAsia="Times New Roman"/>
          <w:sz w:val="24"/>
          <w:szCs w:val="24"/>
        </w:rPr>
        <w:t>. 2022. 167 f. Dissertação (Mestrado em Estudos Africanos, Povos Indígenas e Culturas Negras) – Universidade do Estado da Bahia, Salvador, 2022.</w:t>
      </w:r>
    </w:p>
    <w:p w:rsidR="00F015FC" w:rsidRDefault="00F015FC"/>
    <w:p w:rsidR="00F015FC" w:rsidRDefault="00F015FC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F015FC" w:rsidSect="00CE3CBC">
      <w:headerReference w:type="default" r:id="rId13"/>
      <w:footerReference w:type="default" r:id="rId14"/>
      <w:headerReference w:type="first" r:id="rId15"/>
      <w:footerReference w:type="first" r:id="rId16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030D" w:rsidRDefault="0089030D">
      <w:pPr>
        <w:spacing w:line="240" w:lineRule="auto"/>
      </w:pPr>
      <w:r>
        <w:separator/>
      </w:r>
    </w:p>
  </w:endnote>
  <w:endnote w:type="continuationSeparator" w:id="0">
    <w:p w:rsidR="0089030D" w:rsidRDefault="008903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6575167-3EAA-494C-B3CD-FF09F5AF80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B9A4341-F485-4344-910B-F0EE88F626D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15FC" w:rsidRDefault="001E33ED">
    <w:pPr>
      <w:jc w:val="center"/>
    </w:pPr>
    <w:r>
      <w:fldChar w:fldCharType="begin"/>
    </w:r>
    <w:r>
      <w:instrText>PAGE</w:instrText>
    </w:r>
    <w:r>
      <w:fldChar w:fldCharType="separate"/>
    </w:r>
    <w:r w:rsidR="00CE792B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15FC" w:rsidRDefault="00F015F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030D" w:rsidRDefault="0089030D">
      <w:pPr>
        <w:spacing w:line="240" w:lineRule="auto"/>
      </w:pPr>
      <w:r>
        <w:separator/>
      </w:r>
    </w:p>
  </w:footnote>
  <w:footnote w:type="continuationSeparator" w:id="0">
    <w:p w:rsidR="0089030D" w:rsidRDefault="008903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15FC" w:rsidRDefault="001E33ED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F015FC" w:rsidRDefault="00F015FC">
    <w:pPr>
      <w:jc w:val="right"/>
    </w:pPr>
  </w:p>
  <w:p w:rsidR="00F015FC" w:rsidRDefault="00F015FC">
    <w:pPr>
      <w:jc w:val="right"/>
    </w:pPr>
  </w:p>
  <w:p w:rsidR="00F015FC" w:rsidRDefault="001E33ED">
    <w:r>
      <w:rPr>
        <w:noProof/>
      </w:rPr>
      <w:drawing>
        <wp:anchor distT="114300" distB="114300" distL="114300" distR="114300" simplePos="0" relativeHeight="251660288" behindDoc="1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15FC" w:rsidRDefault="00F015F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5FC"/>
    <w:rsid w:val="001E33ED"/>
    <w:rsid w:val="0040250C"/>
    <w:rsid w:val="00515A58"/>
    <w:rsid w:val="0089030D"/>
    <w:rsid w:val="009D02B7"/>
    <w:rsid w:val="00A05907"/>
    <w:rsid w:val="00C43813"/>
    <w:rsid w:val="00CE193E"/>
    <w:rsid w:val="00CE3CBC"/>
    <w:rsid w:val="00CE792B"/>
    <w:rsid w:val="00F015FC"/>
    <w:rsid w:val="00FC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026B74B-5FAB-43DC-8B46-0E08EF9D7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pdq2pgselectionanchorcontainer">
    <w:name w:val="pdq2pg_selectionanchorcontainer"/>
    <w:basedOn w:val="Normal"/>
    <w:rsid w:val="00CE1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E1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23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leis/2003/l10.639.htm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lanalto.gov.br/ccivil_03/leis/2003/l10.639.htm" TargetMode="External"/><Relationship Id="rId12" Type="http://schemas.openxmlformats.org/officeDocument/2006/relationships/hyperlink" Target="https://www.planalto.gov.br/ccivil_03/_ato2023-2026/2024/lei/l14986.ht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planalto.gov.br/ccivil_03/_ato2023-2026/2024/lei/l14986.htm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www.planalto.gov.br/ccivil_03/_ato2007-2010/2008/lei/l11645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nalto.gov.br/ccivil_03/_ato2007-2010/2008/lei/l11645.htm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094B1-A432-4AF7-A058-015FB7D6E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1138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</dc:creator>
  <cp:lastModifiedBy>Kelly</cp:lastModifiedBy>
  <cp:revision>9</cp:revision>
  <dcterms:created xsi:type="dcterms:W3CDTF">2026-07-23T13:59:00Z</dcterms:created>
  <dcterms:modified xsi:type="dcterms:W3CDTF">2026-07-23T14:29:00Z</dcterms:modified>
</cp:coreProperties>
</file>