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AF58E" w14:textId="77777777" w:rsidR="00C44E8F" w:rsidRPr="00C44E8F" w:rsidRDefault="00C44E8F" w:rsidP="00C44E8F">
      <w:pPr>
        <w:spacing w:line="240" w:lineRule="auto"/>
        <w:jc w:val="center"/>
        <w:rPr>
          <w:rFonts w:ascii="Times New Roman" w:eastAsia="Times New Roman" w:hAnsi="Times New Roman" w:cs="Times New Roman"/>
          <w:sz w:val="24"/>
          <w:szCs w:val="24"/>
        </w:rPr>
      </w:pPr>
      <w:r w:rsidRPr="00C44E8F">
        <w:rPr>
          <w:rFonts w:eastAsia="Times New Roman"/>
          <w:b/>
          <w:bCs/>
          <w:color w:val="000000"/>
          <w:sz w:val="24"/>
          <w:szCs w:val="24"/>
        </w:rPr>
        <w:t>DECOLONIZAR E INTERCULTURALIZAR AS UNIVERSIDADES: AÇÕES AFIRMATIVAS, JUSTIÇA EPISTÊMICA E TRANSFORMAÇÃO DAS CIÊNCIAS</w:t>
      </w:r>
    </w:p>
    <w:p w14:paraId="66DB0F64" w14:textId="77777777" w:rsidR="00C44E8F" w:rsidRPr="00C44E8F" w:rsidRDefault="00C44E8F" w:rsidP="00C44E8F">
      <w:pPr>
        <w:spacing w:after="240" w:line="240" w:lineRule="auto"/>
        <w:rPr>
          <w:rFonts w:ascii="Times New Roman" w:eastAsia="Times New Roman" w:hAnsi="Times New Roman" w:cs="Times New Roman"/>
          <w:sz w:val="24"/>
          <w:szCs w:val="24"/>
        </w:rPr>
      </w:pPr>
    </w:p>
    <w:p w14:paraId="7CEA621D" w14:textId="5F959F89" w:rsidR="00C44E8F" w:rsidRPr="00C44E8F" w:rsidRDefault="00C44E8F" w:rsidP="00C44E8F">
      <w:pPr>
        <w:spacing w:line="240" w:lineRule="auto"/>
        <w:jc w:val="center"/>
        <w:rPr>
          <w:rFonts w:ascii="Times New Roman" w:eastAsia="Times New Roman" w:hAnsi="Times New Roman" w:cs="Times New Roman"/>
          <w:sz w:val="24"/>
          <w:szCs w:val="24"/>
        </w:rPr>
      </w:pPr>
      <w:r w:rsidRPr="00C44E8F">
        <w:rPr>
          <w:rFonts w:eastAsia="Times New Roman"/>
          <w:b/>
          <w:bCs/>
          <w:color w:val="000000"/>
          <w:sz w:val="24"/>
          <w:szCs w:val="24"/>
        </w:rPr>
        <w:t> </w:t>
      </w:r>
      <w:r w:rsidR="00B3772D" w:rsidRPr="00B3772D">
        <w:rPr>
          <w:rFonts w:eastAsia="Times New Roman"/>
          <w:b/>
          <w:bCs/>
          <w:color w:val="000000"/>
          <w:sz w:val="24"/>
          <w:szCs w:val="24"/>
        </w:rPr>
        <w:t xml:space="preserve">DA NORMA À AÇÃO: O LETRAMENTO RACIAL CRÍTICO NA FORMAÇÃO DE OPERADORES JURÍDICOS ANTIRRACISTAS  </w:t>
      </w:r>
    </w:p>
    <w:p w14:paraId="46C2FD3A" w14:textId="77777777" w:rsidR="00C44E8F" w:rsidRPr="00C44E8F" w:rsidRDefault="00C44E8F" w:rsidP="00C44E8F">
      <w:pPr>
        <w:spacing w:after="240" w:line="240" w:lineRule="auto"/>
        <w:rPr>
          <w:rFonts w:ascii="Times New Roman" w:eastAsia="Times New Roman" w:hAnsi="Times New Roman" w:cs="Times New Roman"/>
          <w:sz w:val="24"/>
          <w:szCs w:val="24"/>
        </w:rPr>
      </w:pPr>
    </w:p>
    <w:p w14:paraId="41797C4D" w14:textId="77777777" w:rsidR="00C44E8F" w:rsidRDefault="00C44E8F" w:rsidP="00C44E8F">
      <w:pPr>
        <w:spacing w:line="240" w:lineRule="auto"/>
        <w:jc w:val="right"/>
        <w:rPr>
          <w:rFonts w:eastAsia="Times New Roman"/>
          <w:color w:val="000000"/>
          <w:sz w:val="24"/>
          <w:szCs w:val="24"/>
        </w:rPr>
      </w:pPr>
      <w:r w:rsidRPr="00C44E8F">
        <w:rPr>
          <w:rFonts w:eastAsia="Times New Roman"/>
          <w:color w:val="000000"/>
          <w:sz w:val="24"/>
          <w:szCs w:val="24"/>
        </w:rPr>
        <w:t>João Pedro Cordeiro Ferreira</w:t>
      </w:r>
    </w:p>
    <w:p w14:paraId="2E262A11" w14:textId="77777777" w:rsidR="00343179" w:rsidRPr="00343179" w:rsidRDefault="00C44E8F" w:rsidP="007024AF">
      <w:pPr>
        <w:spacing w:line="240" w:lineRule="auto"/>
        <w:jc w:val="right"/>
        <w:rPr>
          <w:i/>
          <w:iCs/>
          <w:color w:val="000000"/>
          <w:sz w:val="24"/>
          <w:szCs w:val="24"/>
        </w:rPr>
      </w:pPr>
      <w:r w:rsidRPr="00343179">
        <w:rPr>
          <w:i/>
          <w:iCs/>
          <w:color w:val="000000"/>
          <w:sz w:val="24"/>
          <w:szCs w:val="24"/>
        </w:rPr>
        <w:t>Universidade Estadual Paulista (UNESP)</w:t>
      </w:r>
    </w:p>
    <w:p w14:paraId="122E7BA9" w14:textId="4A0A58BC" w:rsidR="00C44E8F" w:rsidRPr="00343179" w:rsidRDefault="00343179" w:rsidP="007024AF">
      <w:pPr>
        <w:spacing w:line="240" w:lineRule="auto"/>
        <w:jc w:val="right"/>
        <w:rPr>
          <w:i/>
          <w:iCs/>
          <w:color w:val="000000"/>
          <w:sz w:val="24"/>
          <w:szCs w:val="24"/>
        </w:rPr>
      </w:pPr>
      <w:r w:rsidRPr="00343179">
        <w:rPr>
          <w:i/>
          <w:iCs/>
          <w:color w:val="000000"/>
          <w:sz w:val="24"/>
          <w:szCs w:val="24"/>
        </w:rPr>
        <w:t>C</w:t>
      </w:r>
      <w:r w:rsidR="00C44E8F" w:rsidRPr="00343179">
        <w:rPr>
          <w:i/>
          <w:iCs/>
          <w:color w:val="000000"/>
          <w:sz w:val="24"/>
          <w:szCs w:val="24"/>
        </w:rPr>
        <w:t>ordeiro</w:t>
      </w:r>
      <w:r w:rsidRPr="00343179">
        <w:rPr>
          <w:i/>
          <w:iCs/>
          <w:color w:val="000000"/>
          <w:sz w:val="24"/>
          <w:szCs w:val="24"/>
        </w:rPr>
        <w:t>joaopedro013@gmail.com</w:t>
      </w:r>
    </w:p>
    <w:p w14:paraId="011D81EE" w14:textId="77777777" w:rsidR="00231061" w:rsidRDefault="00231061">
      <w:pPr>
        <w:keepLines/>
        <w:widowControl w:val="0"/>
        <w:spacing w:line="240" w:lineRule="auto"/>
        <w:rPr>
          <w:sz w:val="24"/>
          <w:szCs w:val="24"/>
        </w:rPr>
      </w:pPr>
    </w:p>
    <w:p w14:paraId="640E2A73" w14:textId="77777777" w:rsidR="00231061" w:rsidRDefault="00231061">
      <w:pPr>
        <w:keepLines/>
        <w:widowControl w:val="0"/>
        <w:spacing w:line="240" w:lineRule="auto"/>
        <w:jc w:val="right"/>
        <w:rPr>
          <w:sz w:val="24"/>
          <w:szCs w:val="24"/>
        </w:rPr>
      </w:pPr>
    </w:p>
    <w:p w14:paraId="31AB34CD" w14:textId="77777777" w:rsidR="00231061" w:rsidRDefault="00231061">
      <w:pPr>
        <w:keepLines/>
        <w:widowControl w:val="0"/>
        <w:spacing w:line="240" w:lineRule="auto"/>
        <w:rPr>
          <w:sz w:val="24"/>
          <w:szCs w:val="24"/>
        </w:rPr>
      </w:pPr>
    </w:p>
    <w:p w14:paraId="10155F29" w14:textId="77777777" w:rsidR="00231061" w:rsidRDefault="00231061">
      <w:pPr>
        <w:keepLines/>
        <w:widowControl w:val="0"/>
        <w:spacing w:line="240" w:lineRule="auto"/>
        <w:rPr>
          <w:sz w:val="24"/>
          <w:szCs w:val="24"/>
        </w:rPr>
      </w:pPr>
    </w:p>
    <w:p w14:paraId="1EF074B3" w14:textId="77777777" w:rsidR="00231061" w:rsidRDefault="00231061">
      <w:pPr>
        <w:keepLines/>
        <w:widowControl w:val="0"/>
        <w:spacing w:line="360" w:lineRule="auto"/>
        <w:rPr>
          <w:b/>
          <w:bCs/>
          <w:sz w:val="24"/>
          <w:szCs w:val="24"/>
        </w:rPr>
      </w:pPr>
    </w:p>
    <w:p w14:paraId="09B9B17A" w14:textId="77777777" w:rsidR="00231061" w:rsidRDefault="00937FB9">
      <w:pPr>
        <w:keepLines/>
        <w:widowControl w:val="0"/>
        <w:spacing w:line="360" w:lineRule="auto"/>
        <w:rPr>
          <w:b/>
          <w:bCs/>
          <w:sz w:val="24"/>
          <w:szCs w:val="24"/>
        </w:rPr>
      </w:pPr>
      <w:r>
        <w:rPr>
          <w:b/>
          <w:bCs/>
          <w:sz w:val="24"/>
          <w:szCs w:val="24"/>
        </w:rPr>
        <w:t>RESUMO</w:t>
      </w:r>
    </w:p>
    <w:p w14:paraId="33DA3C82" w14:textId="77777777" w:rsidR="00231061" w:rsidRDefault="00231061">
      <w:pPr>
        <w:keepLines/>
        <w:widowControl w:val="0"/>
        <w:spacing w:line="360" w:lineRule="auto"/>
        <w:rPr>
          <w:b/>
          <w:bCs/>
          <w:sz w:val="24"/>
          <w:szCs w:val="24"/>
        </w:rPr>
      </w:pPr>
    </w:p>
    <w:p w14:paraId="594EA72F" w14:textId="22D7CF3F" w:rsidR="00C44E8F" w:rsidRPr="00C44E8F" w:rsidRDefault="00C44E8F" w:rsidP="00343179">
      <w:pPr>
        <w:keepLines/>
        <w:widowControl w:val="0"/>
        <w:spacing w:line="360" w:lineRule="auto"/>
        <w:ind w:firstLine="720"/>
        <w:jc w:val="both"/>
        <w:rPr>
          <w:sz w:val="24"/>
          <w:szCs w:val="24"/>
        </w:rPr>
      </w:pPr>
      <w:r w:rsidRPr="00C44E8F">
        <w:rPr>
          <w:sz w:val="24"/>
          <w:szCs w:val="24"/>
        </w:rPr>
        <w:t xml:space="preserve">O presente trabalho constitui um relato de experiência sobre o projeto de pesquisa aplicada e extensão denominado </w:t>
      </w:r>
      <w:r>
        <w:rPr>
          <w:sz w:val="24"/>
          <w:szCs w:val="24"/>
        </w:rPr>
        <w:t>“</w:t>
      </w:r>
      <w:r w:rsidRPr="00C44E8F">
        <w:rPr>
          <w:sz w:val="24"/>
          <w:szCs w:val="24"/>
        </w:rPr>
        <w:t>Entre a Teoria e a Prática: o letramento racial como forma de efetivação de direitos sob a perspectiva do Protocolo Racial do CNJ</w:t>
      </w:r>
      <w:r>
        <w:rPr>
          <w:sz w:val="24"/>
          <w:szCs w:val="24"/>
        </w:rPr>
        <w:t>”</w:t>
      </w:r>
      <w:r w:rsidRPr="00C44E8F">
        <w:rPr>
          <w:sz w:val="24"/>
          <w:szCs w:val="24"/>
        </w:rPr>
        <w:t xml:space="preserve">, executado ao longo do ano de 2025. O racismo estrutural e institucional figura como um dos principais óbices à universalização dos direitos humanos e à democratização do acesso à justiça no cenário brasileiro, sendo rotineiramente reproduzido pelas estruturas acadêmicas e pelas práticas cotidianas do Direito. A hegemonia de uma cultura jurídica formalista e universalizante tende a sustentar o mito da neutralidade da lei, ocultando as assimetrias raciais que balizam as decisões institucionais e a distribuição de direitos no país. Face a essa problemática, o Conselho Nacional de Justiça instituiu o Protocolo de Julgamento com Perspectiva Racial como um marco normativo para compelir o Poder Judiciário a internalizar lentes interseccionais e antirracistas em suas decisões. No entanto, a eficácia material desse instrumento depende do letramento racial crítico dos operadores jurídicos em formação e em atividade. Assim, o objetivo deste relato é recontar e analisar a implementação de ações formativas de letramento racial voltadas a estudantes e profissionais do Direito, tendo como vetor a incorporação prática desse protocolo para a transformação das práticas profissionais, curriculares e institucionais no contexto do interior paulista. </w:t>
      </w:r>
    </w:p>
    <w:p w14:paraId="39709802" w14:textId="4CDBFDC9" w:rsidR="00C44E8F" w:rsidRPr="00C44E8F" w:rsidRDefault="00C44E8F" w:rsidP="00343179">
      <w:pPr>
        <w:keepLines/>
        <w:widowControl w:val="0"/>
        <w:spacing w:line="360" w:lineRule="auto"/>
        <w:ind w:firstLine="720"/>
        <w:jc w:val="both"/>
        <w:rPr>
          <w:sz w:val="24"/>
          <w:szCs w:val="24"/>
        </w:rPr>
      </w:pPr>
      <w:r w:rsidRPr="00C44E8F">
        <w:rPr>
          <w:sz w:val="24"/>
          <w:szCs w:val="24"/>
        </w:rPr>
        <w:lastRenderedPageBreak/>
        <w:t xml:space="preserve">As ações relatadas pautaram-se por uma abordagem qualitativa e participativa de pesquisa-ação, desenvolvida entre maio e dezembro de 2025. As intervenções estruturaram-se em dois núcleos estratégicos localizados no município de Franca, em São Paulo: a Clínica de Direitos Humanos da Universidade Estadual Paulista e as Comissões Temáticas de Direitos Humanos, Igualdade Racial, Constitucional e Família da Ordem dos Advogados do Brasil. O desenho das atividades buscou afastar-se do formato tradicional de palestras isoladas, priorizando ciclos de formação continuada que integrassem discussões teóricas e análise de casos práticos adaptados. Na Clínica de Direitos Humanos, os encontros formativos utilizaram como base teórica o </w:t>
      </w:r>
      <w:r w:rsidR="007024AF">
        <w:rPr>
          <w:sz w:val="24"/>
          <w:szCs w:val="24"/>
        </w:rPr>
        <w:t>“</w:t>
      </w:r>
      <w:r w:rsidRPr="00C44E8F">
        <w:rPr>
          <w:sz w:val="24"/>
          <w:szCs w:val="24"/>
        </w:rPr>
        <w:t>Minidicionário Teórico Negro Brasileiro</w:t>
      </w:r>
      <w:r w:rsidR="007024AF">
        <w:rPr>
          <w:sz w:val="24"/>
          <w:szCs w:val="24"/>
        </w:rPr>
        <w:t>”</w:t>
      </w:r>
      <w:r w:rsidRPr="00C44E8F">
        <w:rPr>
          <w:sz w:val="24"/>
          <w:szCs w:val="24"/>
        </w:rPr>
        <w:t xml:space="preserve">, de Sueli Carneiro, e a obra </w:t>
      </w:r>
      <w:r w:rsidR="007024AF">
        <w:rPr>
          <w:sz w:val="24"/>
          <w:szCs w:val="24"/>
        </w:rPr>
        <w:t>“</w:t>
      </w:r>
      <w:r w:rsidRPr="00C44E8F">
        <w:rPr>
          <w:sz w:val="24"/>
          <w:szCs w:val="24"/>
        </w:rPr>
        <w:t>O Pacto da Branquitude</w:t>
      </w:r>
      <w:r w:rsidR="007024AF">
        <w:rPr>
          <w:sz w:val="24"/>
          <w:szCs w:val="24"/>
        </w:rPr>
        <w:t>”</w:t>
      </w:r>
      <w:r w:rsidRPr="00C44E8F">
        <w:rPr>
          <w:sz w:val="24"/>
          <w:szCs w:val="24"/>
        </w:rPr>
        <w:t xml:space="preserve">, de Cida Bento. Junto às comissões da Ordem dos Advogados do Brasil, estruturou-se um ciclo composto por quatro módulos temáticos combinando encontros virtuais e presenciais. O acompanhamento e o monitoramento das discussões foram realizados por meio de reuniões quinzenais da equipe executora e pelo recolhimento sistemático de retornos qualitativos dos participantes ao término de cada atividade. </w:t>
      </w:r>
    </w:p>
    <w:p w14:paraId="2F8447B7" w14:textId="4F6710DE" w:rsidR="00C44E8F" w:rsidRPr="00C44E8F" w:rsidRDefault="00C44E8F" w:rsidP="00343179">
      <w:pPr>
        <w:keepLines/>
        <w:widowControl w:val="0"/>
        <w:spacing w:line="360" w:lineRule="auto"/>
        <w:ind w:firstLine="720"/>
        <w:jc w:val="both"/>
        <w:rPr>
          <w:sz w:val="24"/>
          <w:szCs w:val="24"/>
        </w:rPr>
      </w:pPr>
      <w:r w:rsidRPr="00C44E8F">
        <w:rPr>
          <w:sz w:val="24"/>
          <w:szCs w:val="24"/>
        </w:rPr>
        <w:t>A vivência prática das intervenções na Clínica de Direitos Humanos revelou um avanço expressivo na apropriação teórica de conceitos complexos por parte de estudantes de graduação e pós-graduação. Durante os encontros, os participantes debateram conceitos fundamentais como branquitude, capitalismo racial, eugenia</w:t>
      </w:r>
      <w:r w:rsidR="00CB510D">
        <w:rPr>
          <w:sz w:val="24"/>
          <w:szCs w:val="24"/>
        </w:rPr>
        <w:t xml:space="preserve"> </w:t>
      </w:r>
      <w:r w:rsidRPr="00C44E8F">
        <w:rPr>
          <w:sz w:val="24"/>
          <w:szCs w:val="24"/>
        </w:rPr>
        <w:t xml:space="preserve">e necropolítica, aplicando-os diretamente à análise de assimetrias no sistema de assistência social, segurança pública e justiça. A discussão baseada em casos reais, adaptados a partir de experiências profissionais da equipe de coordenação, permitiu evidenciar como o racismo opera concretamente na negação e na violação de direitos fundamentais. Por meio dessa dinâmica, o Protocolo do </w:t>
      </w:r>
      <w:r w:rsidR="00CB510D">
        <w:rPr>
          <w:sz w:val="24"/>
          <w:szCs w:val="24"/>
        </w:rPr>
        <w:t>CNJ</w:t>
      </w:r>
      <w:r w:rsidRPr="00C44E8F">
        <w:rPr>
          <w:sz w:val="24"/>
          <w:szCs w:val="24"/>
        </w:rPr>
        <w:t xml:space="preserve"> foi ressignificado pelos estudantes, deixando de ser interpretado como uma mera formalidade burocrática e passando a ser compreendido como uma diretriz ativa para a triagem, o acolhimento e o direcionamento das demandas sociais sensíveis que chegam ao núcleo de direitos humanos. Os participantes relataram que a metodologia leve e dialógica viabilizou o aprendizado homogêneo de temas altamente densos, demonstrando interesse em dar continuidade à formação antirracista. </w:t>
      </w:r>
    </w:p>
    <w:p w14:paraId="5FDEB111" w14:textId="76D08889" w:rsidR="00C44E8F" w:rsidRPr="00C44E8F" w:rsidRDefault="00C44E8F" w:rsidP="00343179">
      <w:pPr>
        <w:keepLines/>
        <w:widowControl w:val="0"/>
        <w:spacing w:line="360" w:lineRule="auto"/>
        <w:ind w:firstLine="720"/>
        <w:jc w:val="both"/>
        <w:rPr>
          <w:sz w:val="24"/>
          <w:szCs w:val="24"/>
        </w:rPr>
      </w:pPr>
      <w:r w:rsidRPr="00C44E8F">
        <w:rPr>
          <w:sz w:val="24"/>
          <w:szCs w:val="24"/>
        </w:rPr>
        <w:lastRenderedPageBreak/>
        <w:t>Nas oficinas direcionadas aos profissionais da advocacia junto à Ordem dos Advogados do Brasil, as atividades demonstraram um processo gradual de superação de barreiras hermenêuticas. Inicialmente, as reuniões de planejamento identificaram um desconhecimento generalizado do protocolo do Conselho Nacional de Justiça e certa resistência pautada no apego à suposta neutralidade do Direito. Os ciclos de formação atuaram diretamente nesse gargalo ao instrumentalizar os advogados com ferramentas práticas de litigância decolonial. No primeiro encontro virtual, discutiu-se o papel ativo das pessoas não negras no antirracismo e a distinção entre o acesso ao Judiciário e o acesso efetivo à justiça. No segundo encontro, de caráter presencial, a teoria da interseccionalidade foi explorada a partir da leitura de Carolina Maria de Jesus e da análise de situações-problema baseadas na vulnerabilidade cumulativa de mulheres negras e jovens periféricos envolvidos no sistema de justiça. No terceiro encontro, o foco incidiu sobre a conduta assertiva em conflitos étnico-raciais e o uso de ferramentas processuais, como a inclusão do quesito raça nas petições iniciais, o pedido de inversão do ônus da prova decorrente da vulnerabilidade racial e a postulação de perícias antropológicas e sociais para demonstrar o impacto do racismo estrutural no caso concreto. Por fim, o quarto encontro promoveu diálogos interinstitucionais e incentivou o protagonismo intelectual e a produção acadêmica de profissionais</w:t>
      </w:r>
      <w:r>
        <w:rPr>
          <w:sz w:val="24"/>
          <w:szCs w:val="24"/>
        </w:rPr>
        <w:t xml:space="preserve"> </w:t>
      </w:r>
      <w:r w:rsidRPr="00C44E8F">
        <w:rPr>
          <w:sz w:val="24"/>
          <w:szCs w:val="24"/>
        </w:rPr>
        <w:t>negros.</w:t>
      </w:r>
      <w:r>
        <w:rPr>
          <w:sz w:val="24"/>
          <w:szCs w:val="24"/>
        </w:rPr>
        <w:t xml:space="preserve">                                                                                                                              </w:t>
      </w:r>
      <w:r w:rsidR="00343179">
        <w:rPr>
          <w:sz w:val="24"/>
          <w:szCs w:val="24"/>
        </w:rPr>
        <w:t xml:space="preserve">        </w:t>
      </w:r>
      <w:r w:rsidRPr="00C44E8F">
        <w:rPr>
          <w:sz w:val="24"/>
          <w:szCs w:val="24"/>
        </w:rPr>
        <w:t xml:space="preserve">A análise reflexiva sobre a execução prática do projeto indica que o principal entrave enfrentado decorreu de restrições de ordem temporal. O início tardio do projeto devido a atrasos na liberação de editais comprimiu o cronograma de atividades, impondo um ritmo exíguo diante da complexidade dos temas abordados e limitando em parte o amadurecimento prático das ferramentas processuais propostas. Além disso, o baixo quórum em algumas atividades presenciais evidenciou a histórica dificuldade de engajamento voluntário da advocacia em pautas étnico-raciais, sintoma de uma formação acadêmica tradicional que frequentemente afasta as discussões sobre desigualdade do núcleo duro das ciências jurídicas. Contudo, esses obstáculos foram contornados pela heterogeneidade qualificada dos participantes e pela expressiva abertura institucional dos parceiros, permitindo que a equipe elaborasse um abrangente relatório de recomendação pedagógica visando propor reformas e políticas de diversidade curriculares para o curso de graduação em Direito. Em </w:t>
      </w:r>
      <w:r w:rsidRPr="00C44E8F">
        <w:rPr>
          <w:sz w:val="24"/>
          <w:szCs w:val="24"/>
        </w:rPr>
        <w:lastRenderedPageBreak/>
        <w:t>conclusão, este relato de experiência demonstra que o letramento racial continuado e aplicado é um instrumento potente para desestabilizar os padrões coloniais que enrijecem as instituições do Sul Global. A inserção do Protocolo com Perspectiva Racial nas esferas formativa e profissional operou deslocamentos significativos no modo de compreender o acesso à justiça, apontando que a construção de uma educação jurídica antirracista e o combate ao racismo institucional exigem novas arquiteturas acadêmicas e institucionais comprometidas com a equidade e com o bem-viver comunitário.</w:t>
      </w:r>
    </w:p>
    <w:p w14:paraId="7168FC57" w14:textId="77777777" w:rsidR="00231061" w:rsidRDefault="00231061">
      <w:pPr>
        <w:keepLines/>
        <w:widowControl w:val="0"/>
        <w:spacing w:line="360" w:lineRule="auto"/>
        <w:jc w:val="both"/>
        <w:rPr>
          <w:sz w:val="24"/>
          <w:szCs w:val="24"/>
        </w:rPr>
      </w:pPr>
    </w:p>
    <w:p w14:paraId="63A57F54" w14:textId="77777777" w:rsidR="00231061" w:rsidRDefault="00937FB9">
      <w:pPr>
        <w:keepLines/>
        <w:widowControl w:val="0"/>
        <w:spacing w:line="360" w:lineRule="auto"/>
        <w:jc w:val="both"/>
        <w:rPr>
          <w:b/>
          <w:bCs/>
          <w:sz w:val="24"/>
          <w:szCs w:val="24"/>
        </w:rPr>
      </w:pPr>
      <w:r>
        <w:rPr>
          <w:b/>
          <w:bCs/>
          <w:sz w:val="24"/>
          <w:szCs w:val="24"/>
        </w:rPr>
        <w:t>PALAVRAS-CHAVE</w:t>
      </w:r>
    </w:p>
    <w:p w14:paraId="5F129EBE" w14:textId="4924C670" w:rsidR="00231061" w:rsidRPr="00C44E8F" w:rsidRDefault="00C44E8F">
      <w:pPr>
        <w:keepLines/>
        <w:widowControl w:val="0"/>
        <w:spacing w:line="360" w:lineRule="auto"/>
        <w:jc w:val="both"/>
      </w:pPr>
      <w:r w:rsidRPr="00C44E8F">
        <w:t>Letramento Racial; Protocolo do CNJ; Ensino Jurídico; Justiça Epistêmica; Antirracismo.</w:t>
      </w:r>
    </w:p>
    <w:p w14:paraId="63E84DB4" w14:textId="77777777" w:rsidR="00231061" w:rsidRDefault="00231061">
      <w:pPr>
        <w:keepLines/>
        <w:widowControl w:val="0"/>
        <w:spacing w:line="240" w:lineRule="auto"/>
        <w:rPr>
          <w:b/>
          <w:bCs/>
          <w:sz w:val="24"/>
          <w:szCs w:val="24"/>
        </w:rPr>
      </w:pPr>
    </w:p>
    <w:p w14:paraId="61F9D332" w14:textId="77777777" w:rsidR="00231061" w:rsidRDefault="00937FB9" w:rsidP="00C44E8F">
      <w:pPr>
        <w:keepLines/>
        <w:widowControl w:val="0"/>
        <w:spacing w:after="240" w:line="240" w:lineRule="auto"/>
        <w:rPr>
          <w:sz w:val="24"/>
          <w:szCs w:val="24"/>
        </w:rPr>
      </w:pPr>
      <w:r>
        <w:rPr>
          <w:b/>
          <w:bCs/>
          <w:sz w:val="24"/>
          <w:szCs w:val="24"/>
        </w:rPr>
        <w:t>REFERÊNCIAS</w:t>
      </w:r>
      <w:r>
        <w:rPr>
          <w:sz w:val="24"/>
          <w:szCs w:val="24"/>
        </w:rPr>
        <w:t xml:space="preserve"> </w:t>
      </w:r>
    </w:p>
    <w:p w14:paraId="7B005E27" w14:textId="77777777" w:rsidR="00C44E8F" w:rsidRPr="00C44E8F" w:rsidRDefault="00C44E8F" w:rsidP="00C44E8F">
      <w:pPr>
        <w:spacing w:after="200" w:line="240" w:lineRule="auto"/>
        <w:jc w:val="both"/>
        <w:rPr>
          <w:sz w:val="24"/>
          <w:szCs w:val="24"/>
        </w:rPr>
      </w:pPr>
      <w:r w:rsidRPr="00C44E8F">
        <w:rPr>
          <w:sz w:val="24"/>
          <w:szCs w:val="24"/>
        </w:rPr>
        <w:t xml:space="preserve">BENTO, Cida. </w:t>
      </w:r>
      <w:r w:rsidRPr="00C44E8F">
        <w:rPr>
          <w:b/>
          <w:bCs/>
          <w:sz w:val="24"/>
          <w:szCs w:val="24"/>
        </w:rPr>
        <w:t>O pacto da branquitude</w:t>
      </w:r>
      <w:r w:rsidRPr="00C44E8F">
        <w:rPr>
          <w:sz w:val="24"/>
          <w:szCs w:val="24"/>
        </w:rPr>
        <w:t>. Rio de Janeiro: Companhia das Letras, 2022.</w:t>
      </w:r>
    </w:p>
    <w:p w14:paraId="5828FA40" w14:textId="77777777" w:rsidR="00C44E8F" w:rsidRPr="00C44E8F" w:rsidRDefault="00C44E8F" w:rsidP="00C44E8F">
      <w:pPr>
        <w:spacing w:after="200" w:line="240" w:lineRule="auto"/>
        <w:jc w:val="both"/>
        <w:rPr>
          <w:sz w:val="24"/>
          <w:szCs w:val="24"/>
        </w:rPr>
      </w:pPr>
      <w:r w:rsidRPr="00C44E8F">
        <w:rPr>
          <w:sz w:val="24"/>
          <w:szCs w:val="24"/>
        </w:rPr>
        <w:t xml:space="preserve">CARNEIRO, Sueli. </w:t>
      </w:r>
      <w:r w:rsidRPr="00C44E8F">
        <w:rPr>
          <w:i/>
          <w:iCs/>
          <w:sz w:val="24"/>
          <w:szCs w:val="24"/>
        </w:rPr>
        <w:t>In</w:t>
      </w:r>
      <w:r w:rsidRPr="00C44E8F">
        <w:rPr>
          <w:sz w:val="24"/>
          <w:szCs w:val="24"/>
        </w:rPr>
        <w:t xml:space="preserve">: SANTOS, </w:t>
      </w:r>
      <w:proofErr w:type="spellStart"/>
      <w:r w:rsidRPr="00C44E8F">
        <w:rPr>
          <w:sz w:val="24"/>
          <w:szCs w:val="24"/>
        </w:rPr>
        <w:t>Gilvaneide</w:t>
      </w:r>
      <w:proofErr w:type="spellEnd"/>
      <w:r w:rsidRPr="00C44E8F">
        <w:rPr>
          <w:sz w:val="24"/>
          <w:szCs w:val="24"/>
        </w:rPr>
        <w:t xml:space="preserve">. </w:t>
      </w:r>
      <w:r w:rsidRPr="00C44E8F">
        <w:rPr>
          <w:b/>
          <w:bCs/>
          <w:sz w:val="24"/>
          <w:szCs w:val="24"/>
        </w:rPr>
        <w:t>Minidicionário teórico negro brasileiro do pensamento de Sueli Carneiro</w:t>
      </w:r>
      <w:r w:rsidRPr="00C44E8F">
        <w:rPr>
          <w:sz w:val="24"/>
          <w:szCs w:val="24"/>
        </w:rPr>
        <w:t>. São Paulo: Casa Sueli Carneiro, 2024.</w:t>
      </w:r>
    </w:p>
    <w:p w14:paraId="37153B4C" w14:textId="77777777" w:rsidR="00C44E8F" w:rsidRPr="00C44E8F" w:rsidRDefault="00C44E8F" w:rsidP="00C44E8F">
      <w:pPr>
        <w:spacing w:after="200" w:line="240" w:lineRule="auto"/>
        <w:jc w:val="both"/>
        <w:rPr>
          <w:sz w:val="24"/>
          <w:szCs w:val="24"/>
        </w:rPr>
      </w:pPr>
      <w:r w:rsidRPr="00C44E8F">
        <w:rPr>
          <w:sz w:val="24"/>
          <w:szCs w:val="24"/>
        </w:rPr>
        <w:t xml:space="preserve">CONSELHO NACIONAL DE JUSTIÇA (Brasil). </w:t>
      </w:r>
      <w:r w:rsidRPr="00C44E8F">
        <w:rPr>
          <w:b/>
          <w:bCs/>
          <w:sz w:val="24"/>
          <w:szCs w:val="24"/>
        </w:rPr>
        <w:t>Protocolo para Julgamento com Perspectiva Racial</w:t>
      </w:r>
      <w:r w:rsidRPr="00C44E8F">
        <w:rPr>
          <w:sz w:val="24"/>
          <w:szCs w:val="24"/>
        </w:rPr>
        <w:t>. Brasília: CNJ, 2024.</w:t>
      </w:r>
    </w:p>
    <w:p w14:paraId="4490A87A" w14:textId="77777777" w:rsidR="00C44E8F" w:rsidRPr="00C44E8F" w:rsidRDefault="00C44E8F" w:rsidP="00C44E8F">
      <w:pPr>
        <w:spacing w:after="200" w:line="240" w:lineRule="auto"/>
        <w:jc w:val="both"/>
        <w:rPr>
          <w:sz w:val="24"/>
          <w:szCs w:val="24"/>
        </w:rPr>
      </w:pPr>
      <w:r w:rsidRPr="00C44E8F">
        <w:rPr>
          <w:sz w:val="24"/>
          <w:szCs w:val="24"/>
        </w:rPr>
        <w:t xml:space="preserve">JESUS, Carolina Maria de. </w:t>
      </w:r>
      <w:r w:rsidRPr="00C44E8F">
        <w:rPr>
          <w:b/>
          <w:bCs/>
          <w:sz w:val="24"/>
          <w:szCs w:val="24"/>
        </w:rPr>
        <w:t>Quarto de despejo: diário de uma favelada</w:t>
      </w:r>
      <w:r w:rsidRPr="00C44E8F">
        <w:rPr>
          <w:sz w:val="24"/>
          <w:szCs w:val="24"/>
        </w:rPr>
        <w:t>. São Paulo: Francisco Alves, 1960.</w:t>
      </w:r>
    </w:p>
    <w:p w14:paraId="32F6739C" w14:textId="77777777" w:rsidR="00231061" w:rsidRDefault="00231061">
      <w:pPr>
        <w:spacing w:after="200" w:line="240" w:lineRule="auto"/>
        <w:jc w:val="both"/>
        <w:rPr>
          <w:b/>
          <w:bCs/>
          <w:sz w:val="24"/>
          <w:szCs w:val="24"/>
        </w:rPr>
      </w:pPr>
    </w:p>
    <w:sectPr w:rsidR="00231061">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86252" w14:textId="77777777" w:rsidR="0092377C" w:rsidRDefault="0092377C">
      <w:pPr>
        <w:spacing w:line="240" w:lineRule="auto"/>
      </w:pPr>
      <w:r>
        <w:separator/>
      </w:r>
    </w:p>
  </w:endnote>
  <w:endnote w:type="continuationSeparator" w:id="0">
    <w:p w14:paraId="6D278C81" w14:textId="77777777" w:rsidR="0092377C" w:rsidRDefault="009237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95DDF55-0371-4029-9773-4831703590E0}"/>
  </w:font>
  <w:font w:name="Cambria">
    <w:panose1 w:val="02040503050406030204"/>
    <w:charset w:val="00"/>
    <w:family w:val="roman"/>
    <w:pitch w:val="variable"/>
    <w:sig w:usb0="E00006FF" w:usb1="420024FF" w:usb2="02000000" w:usb3="00000000" w:csb0="0000019F" w:csb1="00000000"/>
    <w:embedRegular r:id="rId2" w:fontKey="{F010C977-4F7F-403E-B420-35C74A6A16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C3D0F" w14:textId="77777777" w:rsidR="00231061" w:rsidRDefault="00937FB9">
    <w:pPr>
      <w:jc w:val="center"/>
    </w:pPr>
    <w:r>
      <w:fldChar w:fldCharType="begin"/>
    </w:r>
    <w:r>
      <w:instrText>PAGE</w:instrText>
    </w:r>
    <w:r>
      <w:fldChar w:fldCharType="separate"/>
    </w:r>
    <w:r w:rsidR="00C44E8F">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5DCE9" w14:textId="77777777" w:rsidR="00231061" w:rsidRDefault="002310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93006" w14:textId="77777777" w:rsidR="0092377C" w:rsidRDefault="0092377C">
      <w:pPr>
        <w:spacing w:line="240" w:lineRule="auto"/>
      </w:pPr>
      <w:r>
        <w:separator/>
      </w:r>
    </w:p>
  </w:footnote>
  <w:footnote w:type="continuationSeparator" w:id="0">
    <w:p w14:paraId="46550DF6" w14:textId="77777777" w:rsidR="0092377C" w:rsidRDefault="009237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D0B7" w14:textId="77777777" w:rsidR="00231061" w:rsidRDefault="00937FB9">
    <w:pPr>
      <w:jc w:val="right"/>
    </w:pPr>
    <w:r>
      <w:rPr>
        <w:noProof/>
      </w:rPr>
      <w:drawing>
        <wp:anchor distT="114300" distB="114300" distL="114300" distR="114300" simplePos="0" relativeHeight="251658240" behindDoc="1" locked="0" layoutInCell="1" hidden="0" allowOverlap="1" wp14:anchorId="5069809D" wp14:editId="7A77E930">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6539D4B1" wp14:editId="76A166AF">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0335EC47" w14:textId="77777777" w:rsidR="00231061" w:rsidRDefault="00231061">
    <w:pPr>
      <w:jc w:val="right"/>
    </w:pPr>
  </w:p>
  <w:p w14:paraId="46B61391" w14:textId="77777777" w:rsidR="00231061" w:rsidRDefault="00231061">
    <w:pPr>
      <w:jc w:val="right"/>
    </w:pPr>
  </w:p>
  <w:p w14:paraId="52198F39" w14:textId="77777777" w:rsidR="00231061" w:rsidRDefault="00937FB9">
    <w:r>
      <w:rPr>
        <w:noProof/>
      </w:rPr>
      <w:drawing>
        <wp:anchor distT="114300" distB="114300" distL="114300" distR="114300" simplePos="0" relativeHeight="251660288" behindDoc="1" locked="0" layoutInCell="1" hidden="0" allowOverlap="1" wp14:anchorId="28ED465B" wp14:editId="31B0D16C">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B1C2" w14:textId="77777777" w:rsidR="00231061" w:rsidRDefault="0023106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061"/>
    <w:rsid w:val="000A3AF2"/>
    <w:rsid w:val="00231061"/>
    <w:rsid w:val="00343179"/>
    <w:rsid w:val="007024AF"/>
    <w:rsid w:val="009164BB"/>
    <w:rsid w:val="0092377C"/>
    <w:rsid w:val="00937FB9"/>
    <w:rsid w:val="00B3772D"/>
    <w:rsid w:val="00BD3621"/>
    <w:rsid w:val="00C44E8F"/>
    <w:rsid w:val="00CB51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E26A2"/>
  <w15:docId w15:val="{8A502F30-40C3-40BE-80A0-13E9BB3D3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extodenotaderodap">
    <w:name w:val="footnote text"/>
    <w:basedOn w:val="Normal"/>
    <w:link w:val="TextodenotaderodapChar"/>
    <w:uiPriority w:val="99"/>
    <w:semiHidden/>
    <w:unhideWhenUsed/>
    <w:rsid w:val="00C44E8F"/>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C44E8F"/>
    <w:rPr>
      <w:sz w:val="20"/>
      <w:szCs w:val="20"/>
    </w:rPr>
  </w:style>
  <w:style w:type="character" w:styleId="Refdenotaderodap">
    <w:name w:val="footnote reference"/>
    <w:basedOn w:val="Fontepargpadro"/>
    <w:uiPriority w:val="99"/>
    <w:semiHidden/>
    <w:unhideWhenUsed/>
    <w:rsid w:val="00C44E8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50C10-4F18-4E1E-9C21-90144C39E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1108</Words>
  <Characters>6808</Characters>
  <Application>Microsoft Office Word</Application>
  <DocSecurity>0</DocSecurity>
  <Lines>119</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João Pedro Cordeiro Ferreira</cp:lastModifiedBy>
  <cp:revision>5</cp:revision>
  <dcterms:created xsi:type="dcterms:W3CDTF">2026-07-17T01:29:00Z</dcterms:created>
  <dcterms:modified xsi:type="dcterms:W3CDTF">2026-07-23T16:38:00Z</dcterms:modified>
</cp:coreProperties>
</file>