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FCCB" w14:textId="4EDBA9E4" w:rsidR="00E115BE" w:rsidRPr="000778E5" w:rsidRDefault="006E1DD6" w:rsidP="006E1DD6">
      <w:pPr>
        <w:keepLines/>
        <w:widowControl w:val="0"/>
        <w:spacing w:line="240" w:lineRule="auto"/>
        <w:jc w:val="center"/>
        <w:rPr>
          <w:b/>
          <w:bCs/>
          <w:sz w:val="24"/>
          <w:szCs w:val="24"/>
        </w:rPr>
      </w:pPr>
      <w:r w:rsidRPr="000778E5">
        <w:rPr>
          <w:b/>
          <w:bCs/>
          <w:sz w:val="24"/>
          <w:szCs w:val="24"/>
        </w:rPr>
        <w:t>CONVERSATÓRIO 1 – EDUCAÇÃO INDÍGENA, EDUCAÇÃO ESCOLAR INDÍGENA E INTERCULTURALIDADE: NARRATIVAS, EXPERIÊNCIAS E CAMINHOS DE TRANSFORMAÇÃO</w:t>
      </w:r>
    </w:p>
    <w:p w14:paraId="7C38C691" w14:textId="77777777" w:rsidR="00E115BE" w:rsidRPr="000778E5" w:rsidRDefault="00E115BE">
      <w:pPr>
        <w:keepLines/>
        <w:widowControl w:val="0"/>
        <w:spacing w:line="240" w:lineRule="auto"/>
        <w:rPr>
          <w:b/>
          <w:bCs/>
          <w:sz w:val="24"/>
          <w:szCs w:val="24"/>
        </w:rPr>
      </w:pPr>
    </w:p>
    <w:p w14:paraId="4BA80BCB" w14:textId="7A6D411A" w:rsidR="00E115BE" w:rsidRPr="000778E5" w:rsidRDefault="006E1DD6" w:rsidP="006E1DD6">
      <w:pPr>
        <w:spacing w:after="360" w:line="240" w:lineRule="auto"/>
        <w:jc w:val="center"/>
        <w:rPr>
          <w:sz w:val="24"/>
          <w:szCs w:val="24"/>
        </w:rPr>
      </w:pPr>
      <w:r w:rsidRPr="000778E5">
        <w:rPr>
          <w:b/>
          <w:sz w:val="24"/>
        </w:rPr>
        <w:t xml:space="preserve">Possibilidades e limites da inteligência artificial na retomada linguística indígena: </w:t>
      </w:r>
      <w:r w:rsidR="009A3D94">
        <w:rPr>
          <w:b/>
          <w:sz w:val="24"/>
        </w:rPr>
        <w:t>uma proposta de</w:t>
      </w:r>
      <w:r w:rsidRPr="000778E5">
        <w:rPr>
          <w:b/>
          <w:sz w:val="24"/>
        </w:rPr>
        <w:t xml:space="preserve"> ensaio experimental com o Patxohã</w:t>
      </w:r>
    </w:p>
    <w:p w14:paraId="08D95599" w14:textId="77777777" w:rsidR="00E115BE" w:rsidRPr="000778E5" w:rsidRDefault="00E115BE">
      <w:pPr>
        <w:keepLines/>
        <w:widowControl w:val="0"/>
        <w:spacing w:line="240" w:lineRule="auto"/>
        <w:rPr>
          <w:sz w:val="24"/>
          <w:szCs w:val="24"/>
        </w:rPr>
      </w:pPr>
    </w:p>
    <w:p w14:paraId="14B582CF" w14:textId="77777777" w:rsidR="00E115BE" w:rsidRPr="000778E5" w:rsidRDefault="00E115BE">
      <w:pPr>
        <w:keepLines/>
        <w:widowControl w:val="0"/>
        <w:spacing w:line="240" w:lineRule="auto"/>
        <w:jc w:val="right"/>
        <w:rPr>
          <w:sz w:val="24"/>
          <w:szCs w:val="24"/>
        </w:rPr>
      </w:pPr>
    </w:p>
    <w:p w14:paraId="037FEFA3" w14:textId="2D7B5BC9" w:rsidR="00E115BE" w:rsidRPr="000778E5" w:rsidRDefault="006E1DD6">
      <w:pPr>
        <w:keepLines/>
        <w:widowControl w:val="0"/>
        <w:spacing w:line="240" w:lineRule="auto"/>
        <w:jc w:val="right"/>
        <w:rPr>
          <w:sz w:val="24"/>
          <w:szCs w:val="24"/>
        </w:rPr>
      </w:pPr>
      <w:r w:rsidRPr="000778E5">
        <w:rPr>
          <w:sz w:val="24"/>
          <w:szCs w:val="24"/>
        </w:rPr>
        <w:t>Venâncio Francisco de Souza Junior, Instituto Federal de Brasília (IFB)/Universidade de Brasília (UnB), 1667972@ifb.edu.br.</w:t>
      </w:r>
    </w:p>
    <w:p w14:paraId="5E18FDF4" w14:textId="77777777" w:rsidR="00E115BE" w:rsidRPr="000778E5" w:rsidRDefault="00E115BE">
      <w:pPr>
        <w:keepLines/>
        <w:widowControl w:val="0"/>
        <w:spacing w:line="240" w:lineRule="auto"/>
        <w:rPr>
          <w:sz w:val="24"/>
          <w:szCs w:val="24"/>
        </w:rPr>
      </w:pPr>
    </w:p>
    <w:p w14:paraId="7FD36D40" w14:textId="77777777" w:rsidR="00E115BE" w:rsidRPr="000778E5" w:rsidRDefault="00E115BE">
      <w:pPr>
        <w:keepLines/>
        <w:widowControl w:val="0"/>
        <w:spacing w:line="240" w:lineRule="auto"/>
        <w:rPr>
          <w:sz w:val="24"/>
          <w:szCs w:val="24"/>
        </w:rPr>
      </w:pPr>
    </w:p>
    <w:p w14:paraId="73A0044D" w14:textId="77777777" w:rsidR="00FA0AD3" w:rsidRPr="000778E5" w:rsidRDefault="00FA0AD3" w:rsidP="00FA0AD3">
      <w:pPr>
        <w:keepLines/>
        <w:widowControl w:val="0"/>
        <w:spacing w:line="360" w:lineRule="auto"/>
        <w:rPr>
          <w:b/>
          <w:bCs/>
          <w:sz w:val="24"/>
          <w:szCs w:val="24"/>
        </w:rPr>
      </w:pPr>
    </w:p>
    <w:p w14:paraId="15C631FD" w14:textId="55BDF655" w:rsidR="00E115BE" w:rsidRPr="000778E5" w:rsidRDefault="00000000" w:rsidP="00FA0AD3">
      <w:pPr>
        <w:keepLines/>
        <w:widowControl w:val="0"/>
        <w:spacing w:line="360" w:lineRule="auto"/>
        <w:rPr>
          <w:b/>
          <w:bCs/>
          <w:sz w:val="24"/>
          <w:szCs w:val="24"/>
        </w:rPr>
      </w:pPr>
      <w:r w:rsidRPr="000778E5">
        <w:rPr>
          <w:b/>
          <w:bCs/>
          <w:sz w:val="24"/>
          <w:szCs w:val="24"/>
        </w:rPr>
        <w:t>RESUMO</w:t>
      </w:r>
    </w:p>
    <w:p w14:paraId="6F787A91" w14:textId="77777777" w:rsidR="00E115BE" w:rsidRPr="000778E5" w:rsidRDefault="00E115BE" w:rsidP="000778E5">
      <w:pPr>
        <w:keepLines/>
        <w:widowControl w:val="0"/>
        <w:spacing w:line="360" w:lineRule="auto"/>
        <w:jc w:val="both"/>
        <w:rPr>
          <w:b/>
          <w:bCs/>
          <w:sz w:val="24"/>
          <w:szCs w:val="24"/>
        </w:rPr>
      </w:pPr>
    </w:p>
    <w:p w14:paraId="3A9375BC" w14:textId="77777777" w:rsidR="000778E5" w:rsidRPr="000778E5" w:rsidRDefault="000778E5" w:rsidP="000778E5">
      <w:pPr>
        <w:spacing w:line="360" w:lineRule="auto"/>
        <w:ind w:firstLine="720"/>
        <w:jc w:val="both"/>
        <w:rPr>
          <w:rFonts w:eastAsia="Times New Roman"/>
          <w:sz w:val="24"/>
          <w:szCs w:val="24"/>
        </w:rPr>
      </w:pPr>
      <w:r w:rsidRPr="000778E5">
        <w:rPr>
          <w:rFonts w:eastAsia="Times New Roman"/>
          <w:sz w:val="24"/>
          <w:szCs w:val="24"/>
        </w:rPr>
        <w:t>A redução do número de falantes e a interrupção da transmissão entre gerações colocam muitas línguas indígenas em situação de vulnerabilidade. No caso do Patxohã, língua do povo Pataxó, a retomada linguística não corresponde à simples recuperação de um sistema preservado integralmente em registros escritos. Trata-se de um processo político, educativo e comunitário, construído por meio de memórias de anciãos, pesquisa documental, produção de materiais didáticos e uso da língua nos territórios. Bomfim (2017) mostra que essa retomada está diretamente ligada à mobilização cultural e política Pataxó, o que impede que seja tratada apenas como uma operação técnica de reconstrução vocabular.</w:t>
      </w:r>
    </w:p>
    <w:p w14:paraId="461885DD" w14:textId="77777777" w:rsidR="000778E5" w:rsidRPr="000778E5" w:rsidRDefault="000778E5" w:rsidP="000778E5">
      <w:pPr>
        <w:spacing w:line="360" w:lineRule="auto"/>
        <w:ind w:firstLine="720"/>
        <w:jc w:val="both"/>
        <w:rPr>
          <w:rFonts w:eastAsia="Times New Roman"/>
          <w:sz w:val="24"/>
          <w:szCs w:val="24"/>
        </w:rPr>
      </w:pPr>
      <w:r w:rsidRPr="000778E5">
        <w:rPr>
          <w:rFonts w:eastAsia="Times New Roman"/>
          <w:sz w:val="24"/>
          <w:szCs w:val="24"/>
        </w:rPr>
        <w:t>Diante do avanço das inteligências artificiais generativas, este trabalho propõe discutir em que medida modelos de linguagem, treinados majoritariamente com línguas de ampla presença digital, poderiam colaborar com ações de retomada do Patxohã sem ocupar o lugar dos pesquisadores, professores e falantes que detêm sua autoridade cultural e linguística. O objetivo é formular um ensaio experimental, de caráter exploratório e documental, voltado à avaliação de tarefas nas quais a inteligência artificial poderia oferecer apoio técnico, bem como dos riscos envolvidos nesse uso. Não se pretende validar traduções, estabelecer normas para a língua nem atribuir à tecnologia competência equivalente à dos agentes Pataxó. A proposta constitui uma etapa preliminar, anterior a uma pesquisa participativa e à validação científica de seu escopo.</w:t>
      </w:r>
    </w:p>
    <w:p w14:paraId="35D43D96" w14:textId="77777777" w:rsidR="000778E5" w:rsidRPr="000778E5" w:rsidRDefault="000778E5" w:rsidP="000778E5">
      <w:pPr>
        <w:spacing w:line="360" w:lineRule="auto"/>
        <w:ind w:firstLine="720"/>
        <w:jc w:val="both"/>
        <w:rPr>
          <w:rFonts w:eastAsia="Times New Roman"/>
          <w:sz w:val="24"/>
          <w:szCs w:val="24"/>
        </w:rPr>
      </w:pPr>
      <w:r w:rsidRPr="000778E5">
        <w:rPr>
          <w:rFonts w:eastAsia="Times New Roman"/>
          <w:sz w:val="24"/>
          <w:szCs w:val="24"/>
        </w:rPr>
        <w:t xml:space="preserve">O referencial teórico articula estudos sobre línguas indígenas, documentação linguística, retomada, interculturalidade e colonialidade do saber. Rodrigues (1986) chama </w:t>
      </w:r>
      <w:r w:rsidRPr="000778E5">
        <w:rPr>
          <w:rFonts w:eastAsia="Times New Roman"/>
          <w:sz w:val="24"/>
          <w:szCs w:val="24"/>
        </w:rPr>
        <w:lastRenderedPageBreak/>
        <w:t xml:space="preserve">atenção para a diversidade linguística indígena brasileira e para as perdas produzidas historicamente pelo processo colonial. </w:t>
      </w:r>
      <w:proofErr w:type="spellStart"/>
      <w:r w:rsidRPr="000778E5">
        <w:rPr>
          <w:rFonts w:eastAsia="Times New Roman"/>
          <w:sz w:val="24"/>
          <w:szCs w:val="24"/>
        </w:rPr>
        <w:t>Franchetto</w:t>
      </w:r>
      <w:proofErr w:type="spellEnd"/>
      <w:r w:rsidRPr="000778E5">
        <w:rPr>
          <w:rFonts w:eastAsia="Times New Roman"/>
          <w:sz w:val="24"/>
          <w:szCs w:val="24"/>
        </w:rPr>
        <w:t xml:space="preserve"> (2004) discute a situação das línguas indígenas e a necessidade de ampliar a documentação e a formação de pesquisadores indígenas. No campo educacional, Candau (2012) contribui para compreender a escola como espaço de negociação entre diferenças culturais, enquanto Walsh (2009) situa essa negociação no horizonte de uma interculturalidade crítica. Santos (2009), por sua vez, permite problematizar a hierarquização que transforma conhecimentos científicos e tecnológicos em referências universais e relega outros modos de conhecer a posições subalternas. Essas contribuições ajudam a delimitar uma questão central para a proposta: modelos de linguagem operam por padrões estatísticos, mas não possuem experiência territorial, memória comunitária ou responsabilidade sobre os conhecimentos que processam.</w:t>
      </w:r>
    </w:p>
    <w:p w14:paraId="2A4B7637" w14:textId="77777777" w:rsidR="000778E5" w:rsidRPr="000778E5" w:rsidRDefault="000778E5" w:rsidP="000778E5">
      <w:pPr>
        <w:spacing w:line="360" w:lineRule="auto"/>
        <w:ind w:firstLine="720"/>
        <w:jc w:val="both"/>
        <w:rPr>
          <w:rFonts w:eastAsia="Times New Roman"/>
          <w:sz w:val="24"/>
          <w:szCs w:val="24"/>
        </w:rPr>
      </w:pPr>
      <w:r w:rsidRPr="000778E5">
        <w:rPr>
          <w:rFonts w:eastAsia="Times New Roman"/>
          <w:sz w:val="24"/>
          <w:szCs w:val="24"/>
        </w:rPr>
        <w:t>O ensaio será desenvolvido a partir de um conjunto inicial de palavras, expressões e enunciados disponíveis em materiais públicos sobre o Patxohã. Esse material será organizado por campos semânticos e utilizado em tarefas de complexidade crescente, como classificação vocabular, identificação de variantes gráficas, elaboração de fichas lexicais, associação entre termos e contextos de uso e tradução experimental de enunciados simples. As respostas produzidas serão comparadas ao corpus de referência, observando-se invenções, alterações de grafia, mistura com outras línguas indígenas, imposição de estruturas do português e capacidade de indicar incerteza.</w:t>
      </w:r>
    </w:p>
    <w:p w14:paraId="2C02E3D7" w14:textId="77777777" w:rsidR="000778E5" w:rsidRPr="000778E5" w:rsidRDefault="000778E5" w:rsidP="000778E5">
      <w:pPr>
        <w:spacing w:line="360" w:lineRule="auto"/>
        <w:ind w:firstLine="720"/>
        <w:jc w:val="both"/>
        <w:rPr>
          <w:rFonts w:eastAsia="Times New Roman"/>
          <w:sz w:val="24"/>
          <w:szCs w:val="24"/>
        </w:rPr>
      </w:pPr>
      <w:r w:rsidRPr="000778E5">
        <w:rPr>
          <w:rFonts w:eastAsia="Times New Roman"/>
          <w:sz w:val="24"/>
          <w:szCs w:val="24"/>
        </w:rPr>
        <w:t>Parte-se da hipótese de que a inteligência artificial poderá apresentar desempenho mais seguro em tarefas de organização do que em tarefas de geração linguística. Quando limitada a um conjunto fechado de dados, poderá auxiliar na busca, catalogação, comparação e preparação de materiais para revisão humana. Também poderá servir à elaboração de exercícios, jogos, glossários digitais e mecanismos de consulta, desde que todo conteúdo seja revisto e autorizado por uma equipe Pataxó. Em contrapartida, solicitações para completar lacunas ou produzir frases sem base documental suficiente poderão levar à criação de formas aparentemente plausíveis, mas não comprovadas. Em uma língua com presença digital reduzida, a fluência da resposta pode ocultar empréstimos indevidos, simplificações culturais e informações fabricadas.</w:t>
      </w:r>
    </w:p>
    <w:p w14:paraId="05EB6A01" w14:textId="77777777" w:rsidR="000778E5" w:rsidRPr="000778E5" w:rsidRDefault="000778E5" w:rsidP="000778E5">
      <w:pPr>
        <w:spacing w:line="360" w:lineRule="auto"/>
        <w:ind w:firstLine="720"/>
        <w:jc w:val="both"/>
        <w:rPr>
          <w:rFonts w:eastAsia="Times New Roman"/>
          <w:sz w:val="24"/>
          <w:szCs w:val="24"/>
        </w:rPr>
      </w:pPr>
      <w:r w:rsidRPr="000778E5">
        <w:rPr>
          <w:rFonts w:eastAsia="Times New Roman"/>
          <w:sz w:val="24"/>
          <w:szCs w:val="24"/>
        </w:rPr>
        <w:t xml:space="preserve">A análise será orientada por três dimensões de risco, sem pressupor antecipadamente os resultados do experimento. A primeira diz respeito à integridade linguística dos registros; a segunda, à possibilidade de separar palavras de seus vínculos </w:t>
      </w:r>
      <w:r w:rsidRPr="000778E5">
        <w:rPr>
          <w:rFonts w:eastAsia="Times New Roman"/>
          <w:sz w:val="24"/>
          <w:szCs w:val="24"/>
        </w:rPr>
        <w:lastRenderedPageBreak/>
        <w:t>com território, história e memória; a terceira, ao controle político sobre dados e conhecimentos coletivos. A partir dessas dimensões, será examinada a viabilidade de uma arquitetura híbrida, na qual um modelo geral de linguagem opere conectado a uma base de conhecimento delimitada e administrada por pesquisadores e educadores Pataxó. O sistema deverá recuperar apenas registros aprovados, indicar a fonte das informações e sinalizar a ausência de dados suficientes. Caberá à equipe indígena decidir o que poderá ser público, o que deverá permanecer restrito e o que não poderá integrar a ferramenta.</w:t>
      </w:r>
    </w:p>
    <w:p w14:paraId="334E5300" w14:textId="77777777" w:rsidR="000778E5" w:rsidRPr="000778E5" w:rsidRDefault="000778E5" w:rsidP="000778E5">
      <w:pPr>
        <w:spacing w:line="360" w:lineRule="auto"/>
        <w:ind w:firstLine="720"/>
        <w:jc w:val="both"/>
        <w:rPr>
          <w:rFonts w:eastAsia="Times New Roman"/>
          <w:sz w:val="24"/>
          <w:szCs w:val="24"/>
        </w:rPr>
      </w:pPr>
      <w:r w:rsidRPr="000778E5">
        <w:rPr>
          <w:rFonts w:eastAsia="Times New Roman"/>
          <w:sz w:val="24"/>
          <w:szCs w:val="24"/>
        </w:rPr>
        <w:t>Espera-se que o ensaio permita delimitar usos tecnicamente úteis e culturalmente responsáveis da inteligência artificial na retomada do Patxohã. O interesse da proposta não está em demonstrar que uma máquina consegue produzir frases, mas em verificar se a tecnologia pode auxiliar na organização de acervos e na criação de recursos pedagógicos sem enfraquecer a autoridade dos falantes. A continuidade da pesquisa dependerá da construção compartilhada do corpus, da avaliação por especialistas e falantes Pataxó e da validação em situações educativas reais. Nesse sentido, a inteligência artificial somente poderá ser considerada pertinente se permanecer como instrumento auxiliar, subordinado às decisões da comunidade e ao direito do povo Pataxó de controlar sua língua e seus conhecimentos.</w:t>
      </w:r>
    </w:p>
    <w:p w14:paraId="5ED2E809" w14:textId="77777777" w:rsidR="000778E5" w:rsidRPr="000778E5" w:rsidRDefault="000778E5" w:rsidP="000778E5">
      <w:pPr>
        <w:spacing w:before="100" w:beforeAutospacing="1" w:after="100" w:afterAutospacing="1" w:line="240" w:lineRule="auto"/>
        <w:outlineLvl w:val="2"/>
        <w:rPr>
          <w:rFonts w:eastAsia="Times New Roman"/>
          <w:b/>
          <w:bCs/>
          <w:sz w:val="27"/>
          <w:szCs w:val="27"/>
        </w:rPr>
      </w:pPr>
      <w:r w:rsidRPr="000778E5">
        <w:rPr>
          <w:rFonts w:eastAsia="Times New Roman"/>
          <w:b/>
          <w:bCs/>
          <w:sz w:val="27"/>
          <w:szCs w:val="27"/>
        </w:rPr>
        <w:t>PALAVRAS-CHAVE</w:t>
      </w:r>
    </w:p>
    <w:p w14:paraId="5C1C9495" w14:textId="77777777" w:rsidR="000778E5" w:rsidRPr="000778E5" w:rsidRDefault="000778E5" w:rsidP="000778E5">
      <w:pPr>
        <w:spacing w:before="100" w:beforeAutospacing="1" w:after="100" w:afterAutospacing="1" w:line="240" w:lineRule="auto"/>
        <w:rPr>
          <w:rFonts w:eastAsia="Times New Roman"/>
        </w:rPr>
      </w:pPr>
      <w:r w:rsidRPr="000778E5">
        <w:rPr>
          <w:rFonts w:eastAsia="Times New Roman"/>
        </w:rPr>
        <w:t>Inteligência artificial; Patxohã; retomada linguística; povo Pataxó; educação escolar indígena.</w:t>
      </w:r>
    </w:p>
    <w:p w14:paraId="4F7D06DF" w14:textId="77777777" w:rsidR="000778E5" w:rsidRPr="000778E5" w:rsidRDefault="000778E5" w:rsidP="000778E5">
      <w:pPr>
        <w:spacing w:before="100" w:beforeAutospacing="1" w:after="100" w:afterAutospacing="1" w:line="240" w:lineRule="auto"/>
        <w:outlineLvl w:val="2"/>
        <w:rPr>
          <w:rFonts w:eastAsia="Times New Roman"/>
          <w:b/>
          <w:bCs/>
          <w:sz w:val="27"/>
          <w:szCs w:val="27"/>
        </w:rPr>
      </w:pPr>
      <w:r w:rsidRPr="000778E5">
        <w:rPr>
          <w:rFonts w:eastAsia="Times New Roman"/>
          <w:b/>
          <w:bCs/>
          <w:sz w:val="27"/>
          <w:szCs w:val="27"/>
        </w:rPr>
        <w:t>REFERÊNCIAS</w:t>
      </w:r>
    </w:p>
    <w:p w14:paraId="0A7D84B0" w14:textId="77777777" w:rsidR="000778E5" w:rsidRPr="000778E5" w:rsidRDefault="000778E5" w:rsidP="000778E5">
      <w:pPr>
        <w:spacing w:before="100" w:beforeAutospacing="1" w:after="100" w:afterAutospacing="1" w:line="240" w:lineRule="auto"/>
        <w:rPr>
          <w:rFonts w:eastAsia="Times New Roman"/>
          <w:sz w:val="24"/>
          <w:szCs w:val="24"/>
        </w:rPr>
      </w:pPr>
      <w:r w:rsidRPr="000778E5">
        <w:rPr>
          <w:rFonts w:eastAsia="Times New Roman"/>
          <w:sz w:val="24"/>
          <w:szCs w:val="24"/>
        </w:rPr>
        <w:t xml:space="preserve">BOMFIM, Anari Braz. Patxohã: a retomada da língua do povo Pataxó. </w:t>
      </w:r>
      <w:r w:rsidRPr="000778E5">
        <w:rPr>
          <w:rFonts w:eastAsia="Times New Roman"/>
          <w:b/>
          <w:bCs/>
          <w:sz w:val="24"/>
          <w:szCs w:val="24"/>
        </w:rPr>
        <w:t xml:space="preserve">Revista </w:t>
      </w:r>
      <w:proofErr w:type="spellStart"/>
      <w:r w:rsidRPr="000778E5">
        <w:rPr>
          <w:rFonts w:eastAsia="Times New Roman"/>
          <w:b/>
          <w:bCs/>
          <w:sz w:val="24"/>
          <w:szCs w:val="24"/>
        </w:rPr>
        <w:t>LinguíStica</w:t>
      </w:r>
      <w:proofErr w:type="spellEnd"/>
      <w:r w:rsidRPr="000778E5">
        <w:rPr>
          <w:rFonts w:eastAsia="Times New Roman"/>
          <w:sz w:val="24"/>
          <w:szCs w:val="24"/>
        </w:rPr>
        <w:t xml:space="preserve">, Rio de Janeiro, v. 13, n. 1, p. 303-327, 2017. Disponível em: </w:t>
      </w:r>
      <w:hyperlink r:id="rId6" w:history="1">
        <w:r w:rsidRPr="000778E5">
          <w:rPr>
            <w:rFonts w:eastAsia="Times New Roman"/>
            <w:color w:val="0000FF"/>
            <w:sz w:val="24"/>
            <w:szCs w:val="24"/>
            <w:u w:val="single"/>
          </w:rPr>
          <w:t>https://revistas.ufrj.br/index.php/rl/article/view/10433</w:t>
        </w:r>
      </w:hyperlink>
      <w:r w:rsidRPr="000778E5">
        <w:rPr>
          <w:rFonts w:eastAsia="Times New Roman"/>
          <w:sz w:val="24"/>
          <w:szCs w:val="24"/>
        </w:rPr>
        <w:t>. Acesso em: 18 maio 2026.</w:t>
      </w:r>
    </w:p>
    <w:p w14:paraId="0C580817" w14:textId="77777777" w:rsidR="000778E5" w:rsidRPr="000778E5" w:rsidRDefault="000778E5" w:rsidP="000778E5">
      <w:pPr>
        <w:spacing w:before="100" w:beforeAutospacing="1" w:after="100" w:afterAutospacing="1" w:line="240" w:lineRule="auto"/>
        <w:rPr>
          <w:rFonts w:eastAsia="Times New Roman"/>
          <w:sz w:val="24"/>
          <w:szCs w:val="24"/>
        </w:rPr>
      </w:pPr>
      <w:r w:rsidRPr="000778E5">
        <w:rPr>
          <w:rFonts w:eastAsia="Times New Roman"/>
          <w:sz w:val="24"/>
          <w:szCs w:val="24"/>
        </w:rPr>
        <w:t xml:space="preserve">CANDAU, Vera Maria Ferrão. Diferenças culturais, interculturalidade e educação em direitos humanos. </w:t>
      </w:r>
      <w:r w:rsidRPr="000778E5">
        <w:rPr>
          <w:rFonts w:eastAsia="Times New Roman"/>
          <w:b/>
          <w:bCs/>
          <w:sz w:val="24"/>
          <w:szCs w:val="24"/>
        </w:rPr>
        <w:t>Educação &amp; Sociedade</w:t>
      </w:r>
      <w:r w:rsidRPr="000778E5">
        <w:rPr>
          <w:rFonts w:eastAsia="Times New Roman"/>
          <w:sz w:val="24"/>
          <w:szCs w:val="24"/>
        </w:rPr>
        <w:t xml:space="preserve">, Campinas, v. 33, n. 118, p. 235-250, 2012. Disponível em: </w:t>
      </w:r>
      <w:hyperlink r:id="rId7" w:history="1">
        <w:r w:rsidRPr="000778E5">
          <w:rPr>
            <w:rFonts w:eastAsia="Times New Roman"/>
            <w:color w:val="0000FF"/>
            <w:sz w:val="24"/>
            <w:szCs w:val="24"/>
            <w:u w:val="single"/>
          </w:rPr>
          <w:t>https://doi.org/10.1590/S0101-73302012000100015</w:t>
        </w:r>
      </w:hyperlink>
      <w:r w:rsidRPr="000778E5">
        <w:rPr>
          <w:rFonts w:eastAsia="Times New Roman"/>
          <w:sz w:val="24"/>
          <w:szCs w:val="24"/>
        </w:rPr>
        <w:t>. Acesso em: 27 maio 2026.</w:t>
      </w:r>
    </w:p>
    <w:p w14:paraId="283B1E04" w14:textId="7E4891D8" w:rsidR="000778E5" w:rsidRPr="000778E5" w:rsidRDefault="000778E5" w:rsidP="000778E5">
      <w:pPr>
        <w:spacing w:before="100" w:beforeAutospacing="1" w:after="100" w:afterAutospacing="1" w:line="240" w:lineRule="auto"/>
        <w:rPr>
          <w:rFonts w:eastAsia="Times New Roman"/>
          <w:sz w:val="24"/>
          <w:szCs w:val="24"/>
        </w:rPr>
      </w:pPr>
      <w:r w:rsidRPr="000778E5">
        <w:rPr>
          <w:rFonts w:eastAsia="Times New Roman"/>
          <w:sz w:val="24"/>
          <w:szCs w:val="24"/>
        </w:rPr>
        <w:t xml:space="preserve">FRANCHETTO, Bruna. Línguas indígenas e comprometimento linguístico no Brasil: situação, necessidades e soluções. </w:t>
      </w:r>
      <w:r w:rsidRPr="000778E5">
        <w:rPr>
          <w:rFonts w:eastAsia="Times New Roman"/>
          <w:b/>
          <w:bCs/>
          <w:sz w:val="24"/>
          <w:szCs w:val="24"/>
        </w:rPr>
        <w:t>Cadernos de Educação Escolar Indígena</w:t>
      </w:r>
      <w:r w:rsidRPr="000778E5">
        <w:rPr>
          <w:rFonts w:eastAsia="Times New Roman"/>
          <w:sz w:val="24"/>
          <w:szCs w:val="24"/>
        </w:rPr>
        <w:t>, Barra do Bugres, v. 3, n. 1, p. 9-26, 2004.</w:t>
      </w:r>
    </w:p>
    <w:p w14:paraId="4C0E40E8" w14:textId="77777777" w:rsidR="009A3D94" w:rsidRDefault="000778E5" w:rsidP="000778E5">
      <w:pPr>
        <w:spacing w:before="100" w:beforeAutospacing="1" w:after="100" w:afterAutospacing="1" w:line="240" w:lineRule="auto"/>
        <w:rPr>
          <w:rFonts w:eastAsia="Times New Roman"/>
          <w:sz w:val="24"/>
          <w:szCs w:val="24"/>
        </w:rPr>
      </w:pPr>
      <w:r w:rsidRPr="000778E5">
        <w:rPr>
          <w:rFonts w:eastAsia="Times New Roman"/>
          <w:sz w:val="24"/>
          <w:szCs w:val="24"/>
        </w:rPr>
        <w:t xml:space="preserve">RODRIGUES, Aryon </w:t>
      </w:r>
      <w:proofErr w:type="spellStart"/>
      <w:r w:rsidRPr="000778E5">
        <w:rPr>
          <w:rFonts w:eastAsia="Times New Roman"/>
          <w:sz w:val="24"/>
          <w:szCs w:val="24"/>
        </w:rPr>
        <w:t>Dall’Igna</w:t>
      </w:r>
      <w:proofErr w:type="spellEnd"/>
      <w:r w:rsidRPr="000778E5">
        <w:rPr>
          <w:rFonts w:eastAsia="Times New Roman"/>
          <w:sz w:val="24"/>
          <w:szCs w:val="24"/>
        </w:rPr>
        <w:t xml:space="preserve">. </w:t>
      </w:r>
      <w:r w:rsidRPr="000778E5">
        <w:rPr>
          <w:rFonts w:eastAsia="Times New Roman"/>
          <w:b/>
          <w:bCs/>
          <w:sz w:val="24"/>
          <w:szCs w:val="24"/>
        </w:rPr>
        <w:t>Línguas brasileiras: para o conhecimento das línguas indígenas</w:t>
      </w:r>
      <w:r w:rsidRPr="000778E5">
        <w:rPr>
          <w:rFonts w:eastAsia="Times New Roman"/>
          <w:sz w:val="24"/>
          <w:szCs w:val="24"/>
        </w:rPr>
        <w:t>. São Paulo: Loyola, 1986.</w:t>
      </w:r>
    </w:p>
    <w:p w14:paraId="0BBD0280" w14:textId="5AF38A52" w:rsidR="000778E5" w:rsidRPr="000778E5" w:rsidRDefault="000778E5" w:rsidP="000778E5">
      <w:pPr>
        <w:spacing w:before="100" w:beforeAutospacing="1" w:after="100" w:afterAutospacing="1" w:line="240" w:lineRule="auto"/>
        <w:rPr>
          <w:rFonts w:eastAsia="Times New Roman"/>
          <w:sz w:val="24"/>
          <w:szCs w:val="24"/>
        </w:rPr>
      </w:pPr>
      <w:r w:rsidRPr="000778E5">
        <w:rPr>
          <w:rFonts w:eastAsia="Times New Roman"/>
          <w:sz w:val="24"/>
          <w:szCs w:val="24"/>
        </w:rPr>
        <w:lastRenderedPageBreak/>
        <w:t xml:space="preserve">SANTOS, Boaventura de Sousa. Para além do pensamento abissal: das linhas globais a uma ecologia de saberes. In: SANTOS, Boaventura de Sousa; MENESES, Maria Paula (org.). </w:t>
      </w:r>
      <w:r w:rsidRPr="000778E5">
        <w:rPr>
          <w:rFonts w:eastAsia="Times New Roman"/>
          <w:b/>
          <w:bCs/>
          <w:sz w:val="24"/>
          <w:szCs w:val="24"/>
        </w:rPr>
        <w:t>Epistemologias do Sul</w:t>
      </w:r>
      <w:r w:rsidRPr="000778E5">
        <w:rPr>
          <w:rFonts w:eastAsia="Times New Roman"/>
          <w:sz w:val="24"/>
          <w:szCs w:val="24"/>
        </w:rPr>
        <w:t xml:space="preserve">. Coimbra: Almedina, 2009. p. 23-71. Disponível em: </w:t>
      </w:r>
      <w:hyperlink r:id="rId8" w:history="1">
        <w:r w:rsidRPr="000778E5">
          <w:rPr>
            <w:rFonts w:eastAsia="Times New Roman"/>
            <w:color w:val="0000FF"/>
            <w:sz w:val="24"/>
            <w:szCs w:val="24"/>
            <w:u w:val="single"/>
          </w:rPr>
          <w:t>http://bds.unb.br/handle/123456789/1428</w:t>
        </w:r>
      </w:hyperlink>
      <w:r w:rsidRPr="000778E5">
        <w:rPr>
          <w:rFonts w:eastAsia="Times New Roman"/>
          <w:sz w:val="24"/>
          <w:szCs w:val="24"/>
        </w:rPr>
        <w:t>. Acesso em: 8 jul. 2026.</w:t>
      </w:r>
    </w:p>
    <w:p w14:paraId="784550EB" w14:textId="7AE7CBBE" w:rsidR="00045F27" w:rsidRPr="000778E5" w:rsidRDefault="000778E5" w:rsidP="000778E5">
      <w:pPr>
        <w:spacing w:before="100" w:beforeAutospacing="1" w:after="100" w:afterAutospacing="1" w:line="240" w:lineRule="auto"/>
        <w:rPr>
          <w:sz w:val="24"/>
          <w:szCs w:val="24"/>
        </w:rPr>
      </w:pPr>
      <w:r w:rsidRPr="000778E5">
        <w:rPr>
          <w:rFonts w:eastAsia="Times New Roman"/>
          <w:sz w:val="24"/>
          <w:szCs w:val="24"/>
        </w:rPr>
        <w:t xml:space="preserve">WALSH, Catherine. </w:t>
      </w:r>
      <w:proofErr w:type="spellStart"/>
      <w:r w:rsidRPr="000778E5">
        <w:rPr>
          <w:rFonts w:eastAsia="Times New Roman"/>
          <w:sz w:val="24"/>
          <w:szCs w:val="24"/>
        </w:rPr>
        <w:t>Interculturalidad</w:t>
      </w:r>
      <w:proofErr w:type="spellEnd"/>
      <w:r w:rsidRPr="000778E5">
        <w:rPr>
          <w:rFonts w:eastAsia="Times New Roman"/>
          <w:sz w:val="24"/>
          <w:szCs w:val="24"/>
        </w:rPr>
        <w:t xml:space="preserve"> crítica y </w:t>
      </w:r>
      <w:proofErr w:type="spellStart"/>
      <w:r w:rsidRPr="000778E5">
        <w:rPr>
          <w:rFonts w:eastAsia="Times New Roman"/>
          <w:sz w:val="24"/>
          <w:szCs w:val="24"/>
        </w:rPr>
        <w:t>pedagogía</w:t>
      </w:r>
      <w:proofErr w:type="spellEnd"/>
      <w:r w:rsidRPr="000778E5">
        <w:rPr>
          <w:rFonts w:eastAsia="Times New Roman"/>
          <w:sz w:val="24"/>
          <w:szCs w:val="24"/>
        </w:rPr>
        <w:t xml:space="preserve"> </w:t>
      </w:r>
      <w:proofErr w:type="spellStart"/>
      <w:r w:rsidRPr="000778E5">
        <w:rPr>
          <w:rFonts w:eastAsia="Times New Roman"/>
          <w:sz w:val="24"/>
          <w:szCs w:val="24"/>
        </w:rPr>
        <w:t>de-colonial</w:t>
      </w:r>
      <w:proofErr w:type="spellEnd"/>
      <w:r w:rsidRPr="000778E5">
        <w:rPr>
          <w:rFonts w:eastAsia="Times New Roman"/>
          <w:sz w:val="24"/>
          <w:szCs w:val="24"/>
        </w:rPr>
        <w:t xml:space="preserve">: </w:t>
      </w:r>
      <w:proofErr w:type="spellStart"/>
      <w:r w:rsidRPr="000778E5">
        <w:rPr>
          <w:rFonts w:eastAsia="Times New Roman"/>
          <w:sz w:val="24"/>
          <w:szCs w:val="24"/>
        </w:rPr>
        <w:t>apuestas</w:t>
      </w:r>
      <w:proofErr w:type="spellEnd"/>
      <w:r w:rsidRPr="000778E5">
        <w:rPr>
          <w:rFonts w:eastAsia="Times New Roman"/>
          <w:sz w:val="24"/>
          <w:szCs w:val="24"/>
        </w:rPr>
        <w:t xml:space="preserve"> (</w:t>
      </w:r>
      <w:proofErr w:type="spellStart"/>
      <w:r w:rsidRPr="000778E5">
        <w:rPr>
          <w:rFonts w:eastAsia="Times New Roman"/>
          <w:sz w:val="24"/>
          <w:szCs w:val="24"/>
        </w:rPr>
        <w:t>des</w:t>
      </w:r>
      <w:proofErr w:type="spellEnd"/>
      <w:r w:rsidRPr="000778E5">
        <w:rPr>
          <w:rFonts w:eastAsia="Times New Roman"/>
          <w:sz w:val="24"/>
          <w:szCs w:val="24"/>
        </w:rPr>
        <w:t xml:space="preserve">)de </w:t>
      </w:r>
      <w:proofErr w:type="spellStart"/>
      <w:r w:rsidRPr="000778E5">
        <w:rPr>
          <w:rFonts w:eastAsia="Times New Roman"/>
          <w:sz w:val="24"/>
          <w:szCs w:val="24"/>
        </w:rPr>
        <w:t>el</w:t>
      </w:r>
      <w:proofErr w:type="spellEnd"/>
      <w:r w:rsidRPr="000778E5">
        <w:rPr>
          <w:rFonts w:eastAsia="Times New Roman"/>
          <w:sz w:val="24"/>
          <w:szCs w:val="24"/>
        </w:rPr>
        <w:t xml:space="preserve"> </w:t>
      </w:r>
      <w:proofErr w:type="spellStart"/>
      <w:r w:rsidRPr="000778E5">
        <w:rPr>
          <w:rFonts w:eastAsia="Times New Roman"/>
          <w:sz w:val="24"/>
          <w:szCs w:val="24"/>
        </w:rPr>
        <w:t>in-surgir</w:t>
      </w:r>
      <w:proofErr w:type="spellEnd"/>
      <w:r w:rsidRPr="000778E5">
        <w:rPr>
          <w:rFonts w:eastAsia="Times New Roman"/>
          <w:sz w:val="24"/>
          <w:szCs w:val="24"/>
        </w:rPr>
        <w:t xml:space="preserve">, </w:t>
      </w:r>
      <w:proofErr w:type="spellStart"/>
      <w:proofErr w:type="gramStart"/>
      <w:r w:rsidRPr="000778E5">
        <w:rPr>
          <w:rFonts w:eastAsia="Times New Roman"/>
          <w:sz w:val="24"/>
          <w:szCs w:val="24"/>
        </w:rPr>
        <w:t>re-existir</w:t>
      </w:r>
      <w:proofErr w:type="spellEnd"/>
      <w:proofErr w:type="gramEnd"/>
      <w:r w:rsidRPr="000778E5">
        <w:rPr>
          <w:rFonts w:eastAsia="Times New Roman"/>
          <w:sz w:val="24"/>
          <w:szCs w:val="24"/>
        </w:rPr>
        <w:t xml:space="preserve"> y </w:t>
      </w:r>
      <w:proofErr w:type="spellStart"/>
      <w:r w:rsidRPr="000778E5">
        <w:rPr>
          <w:rFonts w:eastAsia="Times New Roman"/>
          <w:sz w:val="24"/>
          <w:szCs w:val="24"/>
        </w:rPr>
        <w:t>re-vivir</w:t>
      </w:r>
      <w:proofErr w:type="spellEnd"/>
      <w:r w:rsidRPr="000778E5">
        <w:rPr>
          <w:rFonts w:eastAsia="Times New Roman"/>
          <w:sz w:val="24"/>
          <w:szCs w:val="24"/>
        </w:rPr>
        <w:t xml:space="preserve">. </w:t>
      </w:r>
      <w:r w:rsidRPr="000778E5">
        <w:rPr>
          <w:rFonts w:eastAsia="Times New Roman"/>
          <w:b/>
          <w:bCs/>
          <w:sz w:val="24"/>
          <w:szCs w:val="24"/>
        </w:rPr>
        <w:t>Educação On-line</w:t>
      </w:r>
      <w:r w:rsidRPr="000778E5">
        <w:rPr>
          <w:rFonts w:eastAsia="Times New Roman"/>
          <w:sz w:val="24"/>
          <w:szCs w:val="24"/>
        </w:rPr>
        <w:t xml:space="preserve">, Rio de Janeiro, n. 4, 2009. Disponível em: </w:t>
      </w:r>
      <w:hyperlink r:id="rId9" w:history="1">
        <w:r w:rsidRPr="000778E5">
          <w:rPr>
            <w:rFonts w:eastAsia="Times New Roman"/>
            <w:color w:val="0000FF"/>
            <w:sz w:val="24"/>
            <w:szCs w:val="24"/>
            <w:u w:val="single"/>
          </w:rPr>
          <w:t>https://educacaoonline.edu.puc-rio.br/index.php/eduonline/article/view/1802</w:t>
        </w:r>
      </w:hyperlink>
      <w:r w:rsidRPr="000778E5">
        <w:rPr>
          <w:rFonts w:eastAsia="Times New Roman"/>
          <w:sz w:val="24"/>
          <w:szCs w:val="24"/>
        </w:rPr>
        <w:t>. Acesso em: 19 jul. 2026.</w:t>
      </w:r>
    </w:p>
    <w:sectPr w:rsidR="00045F27" w:rsidRPr="000778E5" w:rsidSect="00480EB5">
      <w:headerReference w:type="default" r:id="rId10"/>
      <w:footerReference w:type="default" r:id="rId11"/>
      <w:headerReference w:type="first" r:id="rId12"/>
      <w:footerReference w:type="first" r:id="rId13"/>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2AE9B" w14:textId="77777777" w:rsidR="00126746" w:rsidRDefault="00126746">
      <w:pPr>
        <w:spacing w:line="240" w:lineRule="auto"/>
      </w:pPr>
      <w:r>
        <w:separator/>
      </w:r>
    </w:p>
  </w:endnote>
  <w:endnote w:type="continuationSeparator" w:id="0">
    <w:p w14:paraId="59171384" w14:textId="77777777" w:rsidR="00126746" w:rsidRDefault="00126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5EC8EC-CC83-4256-A0F9-573A0449261B}"/>
  </w:font>
  <w:font w:name="Cambria">
    <w:panose1 w:val="02040503050406030204"/>
    <w:charset w:val="00"/>
    <w:family w:val="roman"/>
    <w:pitch w:val="variable"/>
    <w:sig w:usb0="E00006FF" w:usb1="420024FF" w:usb2="02000000" w:usb3="00000000" w:csb0="0000019F" w:csb1="00000000"/>
    <w:embedRegular r:id="rId2" w:fontKey="{0B4A763B-D6C9-4AE2-8C00-FAB98C6781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FCB1" w14:textId="77777777" w:rsidR="00E115BE" w:rsidRDefault="00000000">
    <w:pPr>
      <w:jc w:val="center"/>
    </w:pPr>
    <w:r>
      <w:fldChar w:fldCharType="begin"/>
    </w:r>
    <w:r>
      <w:instrText>PAGE</w:instrText>
    </w:r>
    <w:r>
      <w:fldChar w:fldCharType="separate"/>
    </w:r>
    <w:r w:rsidR="006E1DD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F1BD" w14:textId="77777777" w:rsidR="00E115BE" w:rsidRDefault="00E115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27CA" w14:textId="77777777" w:rsidR="00126746" w:rsidRDefault="00126746">
      <w:pPr>
        <w:spacing w:line="240" w:lineRule="auto"/>
      </w:pPr>
      <w:r>
        <w:separator/>
      </w:r>
    </w:p>
  </w:footnote>
  <w:footnote w:type="continuationSeparator" w:id="0">
    <w:p w14:paraId="091A438E" w14:textId="77777777" w:rsidR="00126746" w:rsidRDefault="001267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7EAB" w14:textId="77777777" w:rsidR="00E115BE" w:rsidRDefault="00000000">
    <w:pPr>
      <w:jc w:val="right"/>
    </w:pPr>
    <w:r>
      <w:rPr>
        <w:noProof/>
      </w:rPr>
      <w:drawing>
        <wp:anchor distT="114300" distB="114300" distL="114300" distR="114300" simplePos="0" relativeHeight="251658240" behindDoc="1" locked="0" layoutInCell="1" hidden="0" allowOverlap="1" wp14:anchorId="738F2202" wp14:editId="5518971E">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B6A456C" wp14:editId="26F60CD0">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2A451D45" w14:textId="77777777" w:rsidR="00E115BE" w:rsidRDefault="00E115BE">
    <w:pPr>
      <w:jc w:val="right"/>
    </w:pPr>
  </w:p>
  <w:p w14:paraId="3880ADEB" w14:textId="77777777" w:rsidR="00E115BE" w:rsidRDefault="00E115BE">
    <w:pPr>
      <w:jc w:val="right"/>
    </w:pPr>
  </w:p>
  <w:p w14:paraId="3B9CDFA5" w14:textId="77777777" w:rsidR="00E115BE" w:rsidRDefault="00000000">
    <w:r>
      <w:rPr>
        <w:noProof/>
      </w:rPr>
      <w:drawing>
        <wp:anchor distT="114300" distB="114300" distL="114300" distR="114300" simplePos="0" relativeHeight="251660288" behindDoc="1" locked="0" layoutInCell="1" hidden="0" allowOverlap="1" wp14:anchorId="48565377" wp14:editId="32CCD625">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9FC2" w14:textId="77777777" w:rsidR="00E115BE" w:rsidRDefault="00E115B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5BE"/>
    <w:rsid w:val="00045F27"/>
    <w:rsid w:val="000612CB"/>
    <w:rsid w:val="000778E5"/>
    <w:rsid w:val="00126746"/>
    <w:rsid w:val="00444C80"/>
    <w:rsid w:val="00480EB5"/>
    <w:rsid w:val="006E1DD6"/>
    <w:rsid w:val="0080455C"/>
    <w:rsid w:val="008B526B"/>
    <w:rsid w:val="008D56F2"/>
    <w:rsid w:val="009A3D94"/>
    <w:rsid w:val="00B21072"/>
    <w:rsid w:val="00B54B1A"/>
    <w:rsid w:val="00E115BE"/>
    <w:rsid w:val="00FA0A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54E5"/>
  <w15:docId w15:val="{83AC3F20-9A1F-4F23-B147-89965C3E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45F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045F27"/>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045F27"/>
    <w:rPr>
      <w:b/>
      <w:bCs/>
    </w:rPr>
  </w:style>
  <w:style w:type="character" w:styleId="Hyperlink">
    <w:name w:val="Hyperlink"/>
    <w:basedOn w:val="Fontepargpadro"/>
    <w:uiPriority w:val="99"/>
    <w:semiHidden/>
    <w:unhideWhenUsed/>
    <w:rsid w:val="00045F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bds.unb.br/handle/123456789/1428"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doi.org/10.1590/S0101-73302012000100015"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vistas.ufrj.br/index.php/rl/article/view/10433"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educacaoonline.edu.puc-rio.br/index.php/eduonline/article/view/1802"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Pages>
  <Words>1246</Words>
  <Characters>6729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Venâncio Júnior</cp:lastModifiedBy>
  <cp:revision>10</cp:revision>
  <dcterms:created xsi:type="dcterms:W3CDTF">2026-07-22T15:24:00Z</dcterms:created>
  <dcterms:modified xsi:type="dcterms:W3CDTF">2026-07-24T12:01:00Z</dcterms:modified>
</cp:coreProperties>
</file>