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A182" w14:textId="160DBC7E" w:rsidR="00404A4E" w:rsidRDefault="008B0B5C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8B0B5C">
        <w:rPr>
          <w:b/>
          <w:bCs/>
          <w:sz w:val="24"/>
          <w:szCs w:val="24"/>
        </w:rPr>
        <w:t>CONVERSATÓRIO 07 - EDUCAÇÃO ANTIRRACISTA NA EDUCAÇÃO BÁSICA: EDUCANDO PARA AS RELAÇÕES ÉTNICO-RACIAIS</w:t>
      </w:r>
    </w:p>
    <w:p w14:paraId="6DAFBAA8" w14:textId="77777777" w:rsidR="00404A4E" w:rsidRDefault="00404A4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998AED4" w14:textId="77777777" w:rsidR="00404A4E" w:rsidRDefault="00404A4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85F10AF" w14:textId="602B59A6" w:rsidR="008B0B5C" w:rsidRPr="008B0B5C" w:rsidRDefault="008B0B5C" w:rsidP="008B0B5C">
      <w:pPr>
        <w:jc w:val="center"/>
        <w:rPr>
          <w:b/>
          <w:bCs/>
          <w:color w:val="000000"/>
          <w:sz w:val="24"/>
          <w:szCs w:val="24"/>
          <w:highlight w:val="white"/>
        </w:rPr>
      </w:pPr>
      <w:r w:rsidRPr="008B0B5C">
        <w:rPr>
          <w:b/>
          <w:bCs/>
          <w:color w:val="000000"/>
          <w:sz w:val="24"/>
          <w:szCs w:val="24"/>
          <w:highlight w:val="white"/>
        </w:rPr>
        <w:t>Confluência das águas: literatura e história</w:t>
      </w:r>
    </w:p>
    <w:p w14:paraId="720FFFCF" w14:textId="2867E6BE" w:rsidR="008B0B5C" w:rsidRPr="008B0B5C" w:rsidRDefault="008B0B5C" w:rsidP="008B0B5C">
      <w:pPr>
        <w:jc w:val="center"/>
        <w:rPr>
          <w:b/>
          <w:bCs/>
          <w:color w:val="000000"/>
          <w:sz w:val="24"/>
          <w:szCs w:val="24"/>
          <w:highlight w:val="white"/>
        </w:rPr>
      </w:pPr>
      <w:r w:rsidRPr="008B0B5C">
        <w:rPr>
          <w:b/>
          <w:bCs/>
          <w:color w:val="000000"/>
          <w:sz w:val="24"/>
          <w:szCs w:val="24"/>
          <w:highlight w:val="white"/>
        </w:rPr>
        <w:t xml:space="preserve">Narrativas antirracistas em consonância com a    </w:t>
      </w:r>
    </w:p>
    <w:p w14:paraId="6AD59A50" w14:textId="1F68C1E1" w:rsidR="008B0B5C" w:rsidRPr="008B0B5C" w:rsidRDefault="008B0B5C" w:rsidP="008B0B5C">
      <w:pPr>
        <w:jc w:val="center"/>
        <w:rPr>
          <w:b/>
          <w:bCs/>
          <w:color w:val="000000"/>
          <w:sz w:val="24"/>
          <w:szCs w:val="24"/>
        </w:rPr>
      </w:pPr>
      <w:r w:rsidRPr="008B0B5C">
        <w:rPr>
          <w:b/>
          <w:bCs/>
          <w:color w:val="000000"/>
          <w:sz w:val="24"/>
          <w:szCs w:val="24"/>
          <w:highlight w:val="white"/>
        </w:rPr>
        <w:t>Lei nº 10.639/2003 na educação básica</w:t>
      </w:r>
    </w:p>
    <w:p w14:paraId="77BB3B5D" w14:textId="77777777" w:rsidR="00404A4E" w:rsidRDefault="00404A4E">
      <w:pPr>
        <w:keepLines/>
        <w:widowControl w:val="0"/>
        <w:spacing w:line="240" w:lineRule="auto"/>
        <w:rPr>
          <w:sz w:val="24"/>
          <w:szCs w:val="24"/>
        </w:rPr>
      </w:pPr>
    </w:p>
    <w:p w14:paraId="64E154DF" w14:textId="77777777" w:rsidR="00404A4E" w:rsidRDefault="00404A4E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381D30B" w14:textId="6D5008E3" w:rsidR="00404A4E" w:rsidRDefault="008B0B5C" w:rsidP="003D43F7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Ana Carolina </w:t>
      </w:r>
      <w:proofErr w:type="spellStart"/>
      <w:r>
        <w:rPr>
          <w:sz w:val="24"/>
          <w:szCs w:val="24"/>
        </w:rPr>
        <w:t>Andalécio</w:t>
      </w:r>
      <w:proofErr w:type="spellEnd"/>
      <w:r>
        <w:rPr>
          <w:sz w:val="24"/>
          <w:szCs w:val="24"/>
        </w:rPr>
        <w:t xml:space="preserve"> Prado, UFG, anac.andalecio@gmail.com</w:t>
      </w:r>
    </w:p>
    <w:p w14:paraId="62CB68DB" w14:textId="77777777" w:rsidR="00404A4E" w:rsidRDefault="00404A4E">
      <w:pPr>
        <w:keepLines/>
        <w:widowControl w:val="0"/>
        <w:spacing w:line="240" w:lineRule="auto"/>
        <w:rPr>
          <w:sz w:val="24"/>
          <w:szCs w:val="24"/>
        </w:rPr>
      </w:pPr>
    </w:p>
    <w:p w14:paraId="30828A1A" w14:textId="77777777" w:rsidR="00404A4E" w:rsidRDefault="00404A4E">
      <w:pPr>
        <w:keepLines/>
        <w:widowControl w:val="0"/>
        <w:spacing w:line="240" w:lineRule="auto"/>
        <w:rPr>
          <w:sz w:val="24"/>
          <w:szCs w:val="24"/>
        </w:rPr>
      </w:pPr>
    </w:p>
    <w:p w14:paraId="1AF8DA8B" w14:textId="77777777" w:rsidR="00404A4E" w:rsidRDefault="00404A4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7E4CAD4" w14:textId="77777777" w:rsidR="00404A4E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7F461A07" w14:textId="77777777" w:rsidR="00404A4E" w:rsidRDefault="00404A4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6EF9D5DA" w14:textId="77777777" w:rsidR="00F53EC7" w:rsidRPr="003D43F7" w:rsidRDefault="00F53EC7" w:rsidP="00F53EC7">
      <w:pPr>
        <w:spacing w:line="360" w:lineRule="auto"/>
        <w:ind w:firstLine="851"/>
        <w:jc w:val="both"/>
        <w:rPr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Após mais de cinco séculos do início da colonização do Brasil, alguns discursos arraigados na sociedade se perpetuam e garantem a manutenção da lógica colonial que ainda se estabelece na contemporaneidade. Essa lógica, a partir da </w:t>
      </w:r>
      <w:proofErr w:type="spellStart"/>
      <w:r w:rsidRPr="003D43F7">
        <w:rPr>
          <w:color w:val="000000"/>
          <w:sz w:val="24"/>
          <w:szCs w:val="24"/>
        </w:rPr>
        <w:t>colonialidade</w:t>
      </w:r>
      <w:proofErr w:type="spellEnd"/>
      <w:r w:rsidRPr="003D43F7">
        <w:rPr>
          <w:color w:val="000000"/>
          <w:sz w:val="24"/>
          <w:szCs w:val="24"/>
        </w:rPr>
        <w:t>, determina e impõe a estrutura social, cultural e econômica de marginalização de grupos raciais e étnicos específicos (</w:t>
      </w:r>
      <w:proofErr w:type="spellStart"/>
      <w:r w:rsidRPr="003D43F7">
        <w:rPr>
          <w:color w:val="000000"/>
          <w:sz w:val="24"/>
          <w:szCs w:val="24"/>
        </w:rPr>
        <w:t>Quijano</w:t>
      </w:r>
      <w:proofErr w:type="spellEnd"/>
      <w:r w:rsidRPr="003D43F7">
        <w:rPr>
          <w:color w:val="000000"/>
          <w:sz w:val="24"/>
          <w:szCs w:val="24"/>
        </w:rPr>
        <w:t xml:space="preserve">, 2009). Nesse âmbito, a </w:t>
      </w:r>
      <w:proofErr w:type="spellStart"/>
      <w:r w:rsidRPr="003D43F7">
        <w:rPr>
          <w:color w:val="000000"/>
          <w:sz w:val="24"/>
          <w:szCs w:val="24"/>
        </w:rPr>
        <w:t>colonialidade</w:t>
      </w:r>
      <w:proofErr w:type="spellEnd"/>
      <w:r w:rsidRPr="003D43F7">
        <w:rPr>
          <w:color w:val="000000"/>
          <w:sz w:val="24"/>
          <w:szCs w:val="24"/>
        </w:rPr>
        <w:t xml:space="preserve"> mantém os resquícios da colonização no espaço (</w:t>
      </w:r>
      <w:proofErr w:type="spellStart"/>
      <w:r w:rsidRPr="003D43F7">
        <w:rPr>
          <w:color w:val="000000"/>
          <w:sz w:val="24"/>
          <w:szCs w:val="24"/>
        </w:rPr>
        <w:t>Césaire</w:t>
      </w:r>
      <w:proofErr w:type="spellEnd"/>
      <w:r w:rsidRPr="003D43F7">
        <w:rPr>
          <w:color w:val="000000"/>
          <w:sz w:val="24"/>
          <w:szCs w:val="24"/>
        </w:rPr>
        <w:t>, 1978), conservando uma parcela mínima da sociedade na esfera de poder e que reverbera no cenário brasileiro atual.</w:t>
      </w:r>
    </w:p>
    <w:p w14:paraId="018E00DD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   Assim, em contraposição à </w:t>
      </w:r>
      <w:proofErr w:type="spellStart"/>
      <w:r w:rsidRPr="003D43F7">
        <w:rPr>
          <w:color w:val="000000"/>
          <w:sz w:val="24"/>
          <w:szCs w:val="24"/>
        </w:rPr>
        <w:t>colonialidade</w:t>
      </w:r>
      <w:proofErr w:type="spellEnd"/>
      <w:r w:rsidRPr="003D43F7">
        <w:rPr>
          <w:color w:val="000000"/>
          <w:sz w:val="24"/>
          <w:szCs w:val="24"/>
        </w:rPr>
        <w:t>, estabelece-se a decolonialidade para combater os impactos, refletir sobre a lógica de construção social e estimular a libertação em relação aos resquícios do legado histórico colonial. Não diferente dessa, o ensino de história e suas complexidades, se ver em uma encruzilhada como a missão de descolonização de mentes e do tempo.</w:t>
      </w:r>
    </w:p>
    <w:p w14:paraId="3FC3CAB8" w14:textId="77777777" w:rsidR="00F53EC7" w:rsidRPr="003D43F7" w:rsidRDefault="00F53EC7" w:rsidP="00F53E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  <w:sz w:val="24"/>
          <w:szCs w:val="24"/>
        </w:rPr>
      </w:pPr>
      <w:bookmarkStart w:id="0" w:name="_Hlk233131847"/>
      <w:r w:rsidRPr="003D43F7">
        <w:rPr>
          <w:color w:val="000000"/>
          <w:sz w:val="24"/>
          <w:szCs w:val="24"/>
        </w:rPr>
        <w:t>Segundo Rufino; Simas (2019), o tempo em questão é a condição vivida no contexto colonial, o que podemos também chamar de um regime de verdade nutrido pela escassez das experiencias e o aprisionamento das temporalidades. Mas o que propomos aqui é a possibilidade advinda de outras formas de sentir, praticar e pensar o mundo.</w:t>
      </w:r>
    </w:p>
    <w:bookmarkEnd w:id="0"/>
    <w:p w14:paraId="5544C3AB" w14:textId="77777777" w:rsidR="00F53EC7" w:rsidRPr="003D43F7" w:rsidRDefault="00F53EC7" w:rsidP="00F53E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A descolonização de mente e do tempo passa pela ruptura de narrativas hegemônicas normativas, que são reflexo do construto social que começa no chão da escola e que entrelaçam em várias esferas das relações humanas seja no passado, </w:t>
      </w:r>
      <w:r w:rsidRPr="003D43F7">
        <w:rPr>
          <w:color w:val="000000"/>
          <w:sz w:val="24"/>
          <w:szCs w:val="24"/>
        </w:rPr>
        <w:lastRenderedPageBreak/>
        <w:t>presente ou futuro. Temporalidades que estão em um fluxo contínuo, não em uma ordem específica, mas que se fundem nos rios da história.</w:t>
      </w:r>
    </w:p>
    <w:p w14:paraId="4A135FB8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    Entendemos que o movimento negro, bem como professoras e professores antirracistas, têm expandido o presente através da luta antirracista nas escolas e na sociedade como um todo. Esse movimento de expansão do presente é mais profundo do que parece à primeira vista, uma vez que ele aponta para a descolonização de uma das dimensões mais importantes da disciplina História como conhecemos, a dimensão do tempo (Lima,2023).</w:t>
      </w:r>
    </w:p>
    <w:p w14:paraId="644C058F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 Tempo que nos é tão caro na prática de entender e fazer a história, ou em outras perspectivas, das várias histórias possíveis, em detrimento da presunção de uma única História. Ensinada a séculos no chão da escola como sendo a única possível, pois tem a chancela da normativa curricular imposta.</w:t>
      </w:r>
    </w:p>
    <w:p w14:paraId="537E387B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   Pois se a escola tem sido ao longo do tempo um espaço estratégico para a propagação da agenda curricular colonial, ela é também um lugar necessário para a emergência da descolonização, principalmente por ser potente ao cruzo, de inúmeras práticas de saberes (Rufino,2021).  </w:t>
      </w:r>
    </w:p>
    <w:p w14:paraId="2C49B85A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  Assumimos que </w:t>
      </w:r>
      <w:proofErr w:type="spellStart"/>
      <w:r w:rsidRPr="003D43F7">
        <w:rPr>
          <w:color w:val="000000"/>
          <w:sz w:val="24"/>
          <w:szCs w:val="24"/>
        </w:rPr>
        <w:t>á</w:t>
      </w:r>
      <w:proofErr w:type="spellEnd"/>
      <w:r w:rsidRPr="003D43F7">
        <w:rPr>
          <w:color w:val="000000"/>
          <w:sz w:val="24"/>
          <w:szCs w:val="24"/>
        </w:rPr>
        <w:t xml:space="preserve"> escola é sim um campo de batalha na disputa pela ruptura ou perpetuação dos modos operantes vigentes. E expansão do presente pela história e pela literatura é uma forma de (</w:t>
      </w:r>
      <w:proofErr w:type="spellStart"/>
      <w:r w:rsidRPr="003D43F7">
        <w:rPr>
          <w:color w:val="000000"/>
          <w:sz w:val="24"/>
          <w:szCs w:val="24"/>
        </w:rPr>
        <w:t>re</w:t>
      </w:r>
      <w:proofErr w:type="spellEnd"/>
      <w:r w:rsidRPr="003D43F7">
        <w:rPr>
          <w:color w:val="000000"/>
          <w:sz w:val="24"/>
          <w:szCs w:val="24"/>
        </w:rPr>
        <w:t>) existir como narrativas outras, dentro do ensino de história.</w:t>
      </w:r>
    </w:p>
    <w:p w14:paraId="23321D3A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  Nossa Rainha-Escriba Leda Maria Martins em seu livro, </w:t>
      </w:r>
      <w:r w:rsidRPr="003D43F7">
        <w:rPr>
          <w:i/>
          <w:iCs/>
          <w:color w:val="000000"/>
          <w:sz w:val="24"/>
          <w:szCs w:val="24"/>
        </w:rPr>
        <w:t xml:space="preserve">Performances do tempo espiralar (2019), </w:t>
      </w:r>
      <w:r w:rsidRPr="003D43F7">
        <w:rPr>
          <w:color w:val="000000"/>
          <w:sz w:val="24"/>
          <w:szCs w:val="24"/>
        </w:rPr>
        <w:t xml:space="preserve">traz a imagem do rio do tempo, cuja a contemplação normativa descreve o acesso como inatingível e que não poderia repetir, pois o rio fluiria sempre na mesma direção e sequência. O que segundo a autora é uma ilusão. Uma vez que a experiência </w:t>
      </w:r>
      <w:r w:rsidRPr="003D43F7">
        <w:rPr>
          <w:i/>
          <w:iCs/>
          <w:color w:val="000000"/>
          <w:sz w:val="24"/>
          <w:szCs w:val="24"/>
        </w:rPr>
        <w:t>tempo</w:t>
      </w:r>
      <w:r w:rsidRPr="003D43F7">
        <w:rPr>
          <w:color w:val="000000"/>
          <w:sz w:val="24"/>
          <w:szCs w:val="24"/>
        </w:rPr>
        <w:t xml:space="preserve"> em sua forma espiralar traz suas curvas, dobras, sonoridades, vocalidade e ritmos.</w:t>
      </w:r>
    </w:p>
    <w:p w14:paraId="54980D51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  Para tanto, </w:t>
      </w:r>
      <w:bookmarkStart w:id="1" w:name="_Hlk233131992"/>
      <w:r w:rsidRPr="003D43F7">
        <w:rPr>
          <w:color w:val="000000"/>
          <w:sz w:val="24"/>
          <w:szCs w:val="24"/>
        </w:rPr>
        <w:t>a linearidade do tempo proposta pela historiografia eurocêntrica, não confluem com o tempo espiral e seu construto cíclico e continuo, pois como nos lembra o provérbio iorubá: “Exu matou um pássaro ontem com uma pedra que só jogou hoje".</w:t>
      </w:r>
      <w:bookmarkEnd w:id="1"/>
    </w:p>
    <w:p w14:paraId="6843AEB2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  É nessas ações de transgressão, que Simas e Rufino falam em seu livro, </w:t>
      </w:r>
      <w:r w:rsidRPr="003D43F7">
        <w:rPr>
          <w:i/>
          <w:iCs/>
          <w:color w:val="000000"/>
          <w:sz w:val="24"/>
          <w:szCs w:val="24"/>
        </w:rPr>
        <w:t>Flecha no tempo</w:t>
      </w:r>
      <w:r w:rsidRPr="003D43F7">
        <w:rPr>
          <w:color w:val="000000"/>
          <w:sz w:val="24"/>
          <w:szCs w:val="24"/>
        </w:rPr>
        <w:t xml:space="preserve"> (2019), confrontando o cárcere temporal edificado pelo colonialismo </w:t>
      </w:r>
      <w:r w:rsidRPr="003D43F7">
        <w:rPr>
          <w:color w:val="000000"/>
          <w:sz w:val="24"/>
          <w:szCs w:val="24"/>
        </w:rPr>
        <w:lastRenderedPageBreak/>
        <w:t>do ocidente europeu para projetar ações de transgressão. Ao invés de uma linha reta, pensamos aqui o tempo em espiral, em sua convergência entre passado, presente e futuro.</w:t>
      </w:r>
    </w:p>
    <w:p w14:paraId="0791CD71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 A classificação de todos os não ocidentais, como fundamentalmente não históricos também está vinculada à suposição de que a história, requer um sentido linear e cumulativo de tempo, que permita ao observador isolar o passado como uma entidade distinta. Mas Ibn </w:t>
      </w:r>
      <w:proofErr w:type="spellStart"/>
      <w:r w:rsidRPr="003D43F7">
        <w:rPr>
          <w:color w:val="000000"/>
          <w:sz w:val="24"/>
          <w:szCs w:val="24"/>
        </w:rPr>
        <w:t>Khaldun</w:t>
      </w:r>
      <w:proofErr w:type="spellEnd"/>
      <w:r w:rsidRPr="003D43F7">
        <w:rPr>
          <w:color w:val="000000"/>
          <w:sz w:val="24"/>
          <w:szCs w:val="24"/>
        </w:rPr>
        <w:t xml:space="preserve"> aplicava prolificamente uma visão cíclica do tempo ao estudo da história. Ademais, a adesão exclusiva ao tempo linear pelos historiadores ocidentais e a correlata rejeição dos povos deixados ‘sem história’ datam ambas do século XIX (</w:t>
      </w:r>
      <w:proofErr w:type="spellStart"/>
      <w:r w:rsidRPr="003D43F7">
        <w:rPr>
          <w:color w:val="000000"/>
          <w:sz w:val="24"/>
          <w:szCs w:val="24"/>
        </w:rPr>
        <w:t>Trouillot</w:t>
      </w:r>
      <w:proofErr w:type="spellEnd"/>
      <w:r w:rsidRPr="003D43F7">
        <w:rPr>
          <w:color w:val="000000"/>
          <w:sz w:val="24"/>
          <w:szCs w:val="24"/>
        </w:rPr>
        <w:t xml:space="preserve">, 2024).  </w:t>
      </w:r>
    </w:p>
    <w:p w14:paraId="7F83154E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Subjugar outras tantas maneiras de estar e perceber o mundo é uma violência, que se estabelece não apena no físico, mas no imaginário coletivo e no modo que percebemos o mundo e os nossos.</w:t>
      </w:r>
    </w:p>
    <w:p w14:paraId="62D54672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Como enfatizado por </w:t>
      </w:r>
      <w:proofErr w:type="spellStart"/>
      <w:r w:rsidRPr="003D43F7">
        <w:rPr>
          <w:color w:val="000000"/>
          <w:sz w:val="24"/>
          <w:szCs w:val="24"/>
        </w:rPr>
        <w:t>Spivak</w:t>
      </w:r>
      <w:proofErr w:type="spellEnd"/>
      <w:r w:rsidRPr="003D43F7">
        <w:rPr>
          <w:color w:val="000000"/>
          <w:sz w:val="24"/>
          <w:szCs w:val="24"/>
        </w:rPr>
        <w:t xml:space="preserve"> (2010), um exemplo disponível de tal violência epistêmica é o projeto remotamente orquestrado, vasto heterogêneo de se construir o sujeito colonial como Outro. Esse projeto é também a obliteração assimétrica do rastro desse Outro em sua precária subjetividade. E como as narrativas da história sobre o olhar do imperialismo se estabeleceram como normativas.</w:t>
      </w:r>
    </w:p>
    <w:p w14:paraId="2AFC8005" w14:textId="77777777" w:rsidR="00F53EC7" w:rsidRPr="003D43F7" w:rsidRDefault="00F53EC7" w:rsidP="00F53EC7">
      <w:pPr>
        <w:spacing w:line="360" w:lineRule="auto"/>
        <w:jc w:val="both"/>
        <w:rPr>
          <w:color w:val="000000"/>
          <w:sz w:val="24"/>
          <w:szCs w:val="24"/>
        </w:rPr>
      </w:pPr>
      <w:r w:rsidRPr="003D43F7">
        <w:rPr>
          <w:color w:val="000000"/>
          <w:sz w:val="24"/>
          <w:szCs w:val="24"/>
        </w:rPr>
        <w:t xml:space="preserve">         Entender os vários tempos que se entrelaçam e se confluem, que se expandem a partir de um presente, </w:t>
      </w:r>
      <w:proofErr w:type="spellStart"/>
      <w:r w:rsidRPr="003D43F7">
        <w:rPr>
          <w:color w:val="000000"/>
          <w:sz w:val="24"/>
          <w:szCs w:val="24"/>
        </w:rPr>
        <w:t>sankofamente</w:t>
      </w:r>
      <w:proofErr w:type="spellEnd"/>
      <w:r w:rsidRPr="003D43F7">
        <w:rPr>
          <w:color w:val="000000"/>
          <w:sz w:val="24"/>
          <w:szCs w:val="24"/>
        </w:rPr>
        <w:t>, para o passado que não passou. No qual a história e a literatura podem nessa dança com o tempo configurar uma nova memória coletiva é a pretensão do ensino de história emancipador.</w:t>
      </w:r>
    </w:p>
    <w:p w14:paraId="05BD2A7E" w14:textId="77777777" w:rsidR="00404A4E" w:rsidRDefault="00404A4E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513C7BD" w14:textId="77777777" w:rsidR="00404A4E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2607F2FB" w14:textId="620DEBF0" w:rsidR="00F53EC7" w:rsidRPr="00F53EC7" w:rsidRDefault="00F53EC7" w:rsidP="00F53EC7">
      <w:pPr>
        <w:keepLines/>
        <w:widowControl w:val="0"/>
        <w:spacing w:line="360" w:lineRule="auto"/>
      </w:pPr>
      <w:r w:rsidRPr="00F53EC7">
        <w:t>História; Literatura; Narrativas antirracistas.</w:t>
      </w:r>
    </w:p>
    <w:p w14:paraId="66232EC1" w14:textId="77777777" w:rsidR="00404A4E" w:rsidRDefault="00404A4E">
      <w:pPr>
        <w:keepLines/>
        <w:widowControl w:val="0"/>
        <w:spacing w:line="240" w:lineRule="auto"/>
        <w:rPr>
          <w:sz w:val="24"/>
          <w:szCs w:val="24"/>
        </w:rPr>
      </w:pPr>
    </w:p>
    <w:p w14:paraId="6EC595E0" w14:textId="77777777" w:rsidR="00404A4E" w:rsidRDefault="00404A4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D13A491" w14:textId="77777777" w:rsidR="00404A4E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0817CC62" w14:textId="77777777" w:rsidR="00F53EC7" w:rsidRDefault="00F53EC7">
      <w:pPr>
        <w:keepLines/>
        <w:widowControl w:val="0"/>
        <w:spacing w:line="240" w:lineRule="auto"/>
        <w:rPr>
          <w:sz w:val="24"/>
          <w:szCs w:val="24"/>
        </w:rPr>
      </w:pPr>
    </w:p>
    <w:p w14:paraId="52BF1934" w14:textId="77777777" w:rsidR="00F53EC7" w:rsidRDefault="00F53EC7" w:rsidP="00F53EC7">
      <w:pPr>
        <w:jc w:val="both"/>
        <w:rPr>
          <w:color w:val="000000"/>
        </w:rPr>
      </w:pPr>
      <w:r>
        <w:rPr>
          <w:color w:val="000000"/>
        </w:rPr>
        <w:t xml:space="preserve">ADICHIE, </w:t>
      </w:r>
      <w:proofErr w:type="spellStart"/>
      <w:r>
        <w:rPr>
          <w:color w:val="000000"/>
        </w:rPr>
        <w:t>Chimamanda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Ngozi</w:t>
      </w:r>
      <w:proofErr w:type="spellEnd"/>
      <w:r>
        <w:rPr>
          <w:color w:val="000000"/>
        </w:rPr>
        <w:t xml:space="preserve">. </w:t>
      </w:r>
      <w:r>
        <w:rPr>
          <w:b/>
          <w:color w:val="000000"/>
        </w:rPr>
        <w:t>O perigo de uma história única</w:t>
      </w:r>
      <w:r>
        <w:rPr>
          <w:color w:val="000000"/>
        </w:rPr>
        <w:t>. São Paulo: Companhia das Letras, 2019.</w:t>
      </w:r>
    </w:p>
    <w:p w14:paraId="0836BB62" w14:textId="77777777" w:rsidR="00F53EC7" w:rsidRDefault="00F53EC7" w:rsidP="00F53EC7">
      <w:pPr>
        <w:jc w:val="both"/>
        <w:rPr>
          <w:color w:val="000000"/>
        </w:rPr>
      </w:pPr>
    </w:p>
    <w:p w14:paraId="36BF49C3" w14:textId="77777777" w:rsidR="00F53EC7" w:rsidRDefault="00F53EC7" w:rsidP="00F53EC7">
      <w:pPr>
        <w:jc w:val="both"/>
      </w:pPr>
      <w:r>
        <w:rPr>
          <w:color w:val="000000"/>
        </w:rPr>
        <w:t xml:space="preserve">BRASIL. </w:t>
      </w:r>
      <w:r>
        <w:rPr>
          <w:b/>
          <w:color w:val="000000"/>
        </w:rPr>
        <w:t>Lei nº 10.639, de 9 de janeiro de 2003</w:t>
      </w:r>
      <w:r>
        <w:rPr>
          <w:color w:val="FF0000"/>
        </w:rPr>
        <w:t xml:space="preserve"> </w:t>
      </w:r>
      <w:r>
        <w:t xml:space="preserve">Altera a Lei nº 9.394, de 20 de dezembro de 1996, que estabelece as diretrizes e bases da educação nacional, para incluir no currículo oficial da rede de ensino a obrigatoriedade da temática “História e Cultura Afro-brasileira”, e </w:t>
      </w:r>
      <w:r>
        <w:lastRenderedPageBreak/>
        <w:t xml:space="preserve">dá outras providências. </w:t>
      </w:r>
      <w:r>
        <w:rPr>
          <w:color w:val="000000"/>
        </w:rPr>
        <w:t xml:space="preserve">Disponível em: </w:t>
      </w:r>
      <w:hyperlink r:id="rId6">
        <w:r>
          <w:rPr>
            <w:color w:val="467886"/>
            <w:u w:val="single"/>
          </w:rPr>
          <w:t>https://www.planalto.gov.br/ccivil_03/leis/2003/l10.639.htm</w:t>
        </w:r>
      </w:hyperlink>
      <w:r>
        <w:t>. Acesso em: 29 julho. 2025.</w:t>
      </w:r>
    </w:p>
    <w:p w14:paraId="637D894A" w14:textId="77777777" w:rsidR="00F53EC7" w:rsidRDefault="00F53EC7" w:rsidP="00F53EC7">
      <w:pPr>
        <w:jc w:val="both"/>
      </w:pPr>
    </w:p>
    <w:p w14:paraId="6208D8B6" w14:textId="77777777" w:rsidR="00F53EC7" w:rsidRDefault="00F53EC7" w:rsidP="00F53EC7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BRASIL. Diretrizes Curriculares Nacionais para a Educação das Relações Étnico – Raciais e para o Ensino de História e Cultura Afro-Brasileira e Africana. Brasília: SECAD; SEPPIR, 2004.Disponível em: </w:t>
      </w:r>
      <w:hyperlink r:id="rId7" w:history="1">
        <w:r w:rsidRPr="00200CBA">
          <w:rPr>
            <w:rStyle w:val="Hyperlink"/>
          </w:rPr>
          <w:t>https://www.gov.br/inep/pt-br/centrais-de-conteudo/acervo-linha-editorial/publicacoes-diversas/temas-interdisciplinares/</w:t>
        </w:r>
      </w:hyperlink>
    </w:p>
    <w:p w14:paraId="086EAF7D" w14:textId="77777777" w:rsidR="00F53EC7" w:rsidRDefault="00F53EC7" w:rsidP="00F53EC7">
      <w:pPr>
        <w:jc w:val="both"/>
      </w:pPr>
    </w:p>
    <w:p w14:paraId="194EFB12" w14:textId="77777777" w:rsidR="00F53EC7" w:rsidRDefault="00F53EC7" w:rsidP="00F53EC7">
      <w:pPr>
        <w:jc w:val="both"/>
      </w:pPr>
      <w:r>
        <w:t xml:space="preserve">BENTO, Cida. </w:t>
      </w:r>
      <w:r>
        <w:rPr>
          <w:b/>
        </w:rPr>
        <w:t>O pacto da branquitude</w:t>
      </w:r>
      <w:r>
        <w:t>. São Paulo: Companhia das Letras, 2022.</w:t>
      </w:r>
    </w:p>
    <w:p w14:paraId="06029EE9" w14:textId="77777777" w:rsidR="00F53EC7" w:rsidRDefault="00F53EC7" w:rsidP="00F53EC7">
      <w:pPr>
        <w:spacing w:line="360" w:lineRule="auto"/>
        <w:jc w:val="both"/>
        <w:rPr>
          <w:color w:val="000000"/>
        </w:rPr>
      </w:pPr>
    </w:p>
    <w:p w14:paraId="2D96FB0E" w14:textId="77777777" w:rsidR="00F53EC7" w:rsidRDefault="00F53EC7" w:rsidP="00F53EC7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BITTENCOURT, Circe Maria Fernandes. </w:t>
      </w:r>
      <w:r w:rsidRPr="000E5D6B">
        <w:rPr>
          <w:b/>
          <w:bCs/>
          <w:color w:val="000000"/>
        </w:rPr>
        <w:t>O que é disciplina escolar</w:t>
      </w:r>
      <w:r>
        <w:rPr>
          <w:color w:val="000000"/>
        </w:rPr>
        <w:t>? In: Ensino de História: Fundamentos e Métodos. Editora Cortez: São Paulo, 2011.</w:t>
      </w:r>
    </w:p>
    <w:p w14:paraId="142A1A96" w14:textId="77777777" w:rsidR="00F53EC7" w:rsidRDefault="00F53EC7" w:rsidP="00F53EC7">
      <w:pPr>
        <w:jc w:val="both"/>
      </w:pPr>
    </w:p>
    <w:p w14:paraId="2E4A9F72" w14:textId="77777777" w:rsidR="00F53EC7" w:rsidRDefault="00F53EC7" w:rsidP="00F53EC7">
      <w:pPr>
        <w:jc w:val="both"/>
      </w:pPr>
      <w:r>
        <w:t xml:space="preserve">CÉSAIRE, Aimé. </w:t>
      </w:r>
      <w:r>
        <w:rPr>
          <w:b/>
        </w:rPr>
        <w:t>Discurso sobre o colonialismo</w:t>
      </w:r>
      <w:r>
        <w:t>. Lisboa: Sá da Costa Editora, 1978.</w:t>
      </w:r>
    </w:p>
    <w:p w14:paraId="7FD39FAB" w14:textId="77777777" w:rsidR="00F53EC7" w:rsidRDefault="00F53EC7" w:rsidP="00F53EC7">
      <w:pPr>
        <w:jc w:val="both"/>
      </w:pPr>
    </w:p>
    <w:p w14:paraId="74A1595B" w14:textId="77777777" w:rsidR="00F53EC7" w:rsidRDefault="00F53EC7" w:rsidP="00F53EC7">
      <w:pPr>
        <w:jc w:val="both"/>
      </w:pPr>
      <w:r w:rsidRPr="003136AC">
        <w:t xml:space="preserve">CRUZ, Eliana Alves. </w:t>
      </w:r>
      <w:r w:rsidRPr="000E5D6B">
        <w:rPr>
          <w:b/>
          <w:bCs/>
        </w:rPr>
        <w:t>Água de barrela</w:t>
      </w:r>
      <w:r w:rsidRPr="003136AC">
        <w:t>. Rio de Janeiro: Malê, 2018.</w:t>
      </w:r>
    </w:p>
    <w:p w14:paraId="6CEDEA2C" w14:textId="77777777" w:rsidR="00F53EC7" w:rsidRDefault="00F53EC7" w:rsidP="00F53EC7">
      <w:pPr>
        <w:jc w:val="both"/>
      </w:pPr>
    </w:p>
    <w:p w14:paraId="7E3D8C65" w14:textId="77777777" w:rsidR="00F53EC7" w:rsidRDefault="00F53EC7" w:rsidP="00F53EC7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DÁVILA, Jerry. </w:t>
      </w:r>
      <w:r w:rsidRPr="000E5D6B">
        <w:rPr>
          <w:b/>
          <w:bCs/>
          <w:color w:val="000000"/>
        </w:rPr>
        <w:t>Diploma de brancura: política social e racial no Brasil</w:t>
      </w:r>
      <w:r>
        <w:rPr>
          <w:color w:val="000000"/>
        </w:rPr>
        <w:t>, 11917-1945. Unesp,2006.</w:t>
      </w:r>
    </w:p>
    <w:p w14:paraId="1A400CFC" w14:textId="77777777" w:rsidR="00F53EC7" w:rsidRDefault="00F53EC7" w:rsidP="00F53EC7">
      <w:pPr>
        <w:jc w:val="both"/>
      </w:pPr>
      <w:r>
        <w:t xml:space="preserve">EVARISTO, Conceição. </w:t>
      </w:r>
      <w:r w:rsidRPr="000E5D6B">
        <w:rPr>
          <w:b/>
          <w:bCs/>
        </w:rPr>
        <w:t>Questão de pele para além da pele</w:t>
      </w:r>
      <w:r>
        <w:t xml:space="preserve">. </w:t>
      </w:r>
      <w:r>
        <w:rPr>
          <w:i/>
        </w:rPr>
        <w:t>In</w:t>
      </w:r>
      <w:r>
        <w:t xml:space="preserve">: RUFATTO, Luiz (org.). </w:t>
      </w:r>
      <w:r>
        <w:rPr>
          <w:b/>
        </w:rPr>
        <w:t>Questão de pele</w:t>
      </w:r>
      <w:r>
        <w:t>. Rio de Janeiro: Língua Geral, 2009. p. 19-38.</w:t>
      </w:r>
    </w:p>
    <w:p w14:paraId="263ED0A0" w14:textId="77777777" w:rsidR="00F53EC7" w:rsidRDefault="00F53EC7" w:rsidP="00F53EC7">
      <w:pPr>
        <w:jc w:val="both"/>
      </w:pPr>
    </w:p>
    <w:p w14:paraId="52D662FD" w14:textId="77777777" w:rsidR="00F53EC7" w:rsidRPr="0065215E" w:rsidRDefault="00F53EC7" w:rsidP="00F53EC7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FONSECA, Thaís Nívia de Lima. </w:t>
      </w:r>
      <w:r w:rsidRPr="000E5D6B">
        <w:rPr>
          <w:b/>
          <w:bCs/>
          <w:color w:val="000000"/>
        </w:rPr>
        <w:t>História e Ensino de História</w:t>
      </w:r>
      <w:r>
        <w:rPr>
          <w:color w:val="000000"/>
        </w:rPr>
        <w:t xml:space="preserve">. Belo Horizonte: Autêntica, 2004. </w:t>
      </w:r>
    </w:p>
    <w:p w14:paraId="05A06E16" w14:textId="77777777" w:rsidR="00F53EC7" w:rsidRDefault="00F53EC7" w:rsidP="00F53EC7">
      <w:pPr>
        <w:jc w:val="both"/>
      </w:pPr>
      <w:r>
        <w:t xml:space="preserve">FANON, Frantz. </w:t>
      </w:r>
      <w:r>
        <w:rPr>
          <w:b/>
        </w:rPr>
        <w:t>Pele negra, máscaras brancas</w:t>
      </w:r>
      <w:r>
        <w:t>. Trad. Renato da Silveira. Salvador: EDUFBA, 2008.</w:t>
      </w:r>
    </w:p>
    <w:p w14:paraId="76AC043A" w14:textId="77777777" w:rsidR="00F53EC7" w:rsidRDefault="00F53EC7" w:rsidP="00F53EC7">
      <w:pPr>
        <w:jc w:val="both"/>
      </w:pPr>
    </w:p>
    <w:p w14:paraId="402B14CA" w14:textId="77777777" w:rsidR="00F53EC7" w:rsidRDefault="00F53EC7" w:rsidP="00F53EC7">
      <w:pPr>
        <w:jc w:val="both"/>
      </w:pPr>
      <w:r>
        <w:t xml:space="preserve">FREIRE, Paulo. </w:t>
      </w:r>
      <w:r>
        <w:rPr>
          <w:b/>
        </w:rPr>
        <w:t>Pedagogia do oprimido</w:t>
      </w:r>
      <w:r>
        <w:t>. 42. ed. Rio de Janeiro: Paz e Terra, 2005.</w:t>
      </w:r>
    </w:p>
    <w:p w14:paraId="4FC95CA1" w14:textId="77777777" w:rsidR="00F53EC7" w:rsidRDefault="00F53EC7" w:rsidP="00F53EC7">
      <w:pPr>
        <w:jc w:val="both"/>
      </w:pPr>
    </w:p>
    <w:p w14:paraId="7AF35EC2" w14:textId="77777777" w:rsidR="00F53EC7" w:rsidRDefault="00F53EC7" w:rsidP="00F53EC7">
      <w:pPr>
        <w:jc w:val="both"/>
      </w:pPr>
      <w:r>
        <w:t xml:space="preserve">GASPARIN, João L. </w:t>
      </w:r>
      <w:r>
        <w:rPr>
          <w:b/>
        </w:rPr>
        <w:t>Uma didática para a Pedagogia Histórico-Crítica</w:t>
      </w:r>
      <w:r>
        <w:t>. 4 ed.</w:t>
      </w:r>
    </w:p>
    <w:p w14:paraId="6587233F" w14:textId="77777777" w:rsidR="00F53EC7" w:rsidRDefault="00F53EC7" w:rsidP="00F53EC7">
      <w:pPr>
        <w:jc w:val="both"/>
      </w:pPr>
      <w:r>
        <w:t>Campinas: Autores Associados, 2007.</w:t>
      </w:r>
    </w:p>
    <w:p w14:paraId="0C6021F3" w14:textId="77777777" w:rsidR="00F53EC7" w:rsidRDefault="00F53EC7" w:rsidP="00F53EC7">
      <w:pPr>
        <w:jc w:val="both"/>
      </w:pPr>
    </w:p>
    <w:p w14:paraId="5F0316A1" w14:textId="77777777" w:rsidR="00F53EC7" w:rsidRDefault="00F53EC7" w:rsidP="00F53EC7">
      <w:pPr>
        <w:jc w:val="both"/>
      </w:pPr>
      <w:r>
        <w:t xml:space="preserve">GIL, Antônio Carlos. </w:t>
      </w:r>
      <w:r>
        <w:rPr>
          <w:b/>
        </w:rPr>
        <w:t>Métodos e técnicas de pesquisa social</w:t>
      </w:r>
      <w:r>
        <w:t>. São Paulo: Atlas, 2002.</w:t>
      </w:r>
    </w:p>
    <w:p w14:paraId="148816E7" w14:textId="77777777" w:rsidR="00F53EC7" w:rsidRDefault="00F53EC7" w:rsidP="00F53EC7">
      <w:pPr>
        <w:jc w:val="both"/>
      </w:pPr>
    </w:p>
    <w:p w14:paraId="43E34B6C" w14:textId="77777777" w:rsidR="00F53EC7" w:rsidRDefault="00F53EC7" w:rsidP="00F53EC7">
      <w:pPr>
        <w:jc w:val="both"/>
      </w:pPr>
      <w:proofErr w:type="spellStart"/>
      <w:r>
        <w:t>hooks</w:t>
      </w:r>
      <w:proofErr w:type="spellEnd"/>
      <w:r>
        <w:t xml:space="preserve">, bell. </w:t>
      </w:r>
      <w:r>
        <w:rPr>
          <w:b/>
        </w:rPr>
        <w:t>Ensinando a transgredir</w:t>
      </w:r>
      <w:r>
        <w:t xml:space="preserve">: a educação como prática da liberdade. 2. ed. São Paulo: WMF Martins Fontes, 2017. </w:t>
      </w:r>
    </w:p>
    <w:p w14:paraId="01D14E39" w14:textId="77777777" w:rsidR="00F53EC7" w:rsidRDefault="00F53EC7" w:rsidP="00F53EC7">
      <w:pPr>
        <w:jc w:val="both"/>
      </w:pPr>
    </w:p>
    <w:p w14:paraId="55B287F8" w14:textId="77777777" w:rsidR="00F53EC7" w:rsidRDefault="00F53EC7" w:rsidP="00F53EC7">
      <w:pPr>
        <w:jc w:val="both"/>
      </w:pPr>
      <w:r>
        <w:t xml:space="preserve">KILOMBA, Grada. </w:t>
      </w:r>
      <w:r>
        <w:rPr>
          <w:b/>
        </w:rPr>
        <w:t>Memórias da plantação</w:t>
      </w:r>
      <w:r>
        <w:t>: episódios de racismo cotidiano. São Paulo: Editora Cobogó, 2019.</w:t>
      </w:r>
    </w:p>
    <w:p w14:paraId="3D1715D4" w14:textId="77777777" w:rsidR="00F53EC7" w:rsidRDefault="00F53EC7" w:rsidP="00F53EC7">
      <w:pPr>
        <w:jc w:val="both"/>
      </w:pPr>
    </w:p>
    <w:p w14:paraId="39AD439A" w14:textId="77777777" w:rsidR="00F53EC7" w:rsidRDefault="00F53EC7" w:rsidP="00F53EC7">
      <w:pPr>
        <w:jc w:val="both"/>
      </w:pPr>
      <w:r>
        <w:t xml:space="preserve">KRENAK, Ailton. </w:t>
      </w:r>
      <w:r>
        <w:rPr>
          <w:b/>
        </w:rPr>
        <w:t>O Futuro ancestral</w:t>
      </w:r>
      <w:r>
        <w:t>. São Paulo: Companhia das Letras, 2022.</w:t>
      </w:r>
    </w:p>
    <w:p w14:paraId="47073FC4" w14:textId="77777777" w:rsidR="00F53EC7" w:rsidRDefault="00F53EC7" w:rsidP="00F53EC7">
      <w:pPr>
        <w:spacing w:line="360" w:lineRule="auto"/>
        <w:jc w:val="both"/>
        <w:rPr>
          <w:color w:val="000000"/>
        </w:rPr>
      </w:pPr>
    </w:p>
    <w:p w14:paraId="7C260D5A" w14:textId="77777777" w:rsidR="00F53EC7" w:rsidRPr="00E04437" w:rsidRDefault="00F53EC7" w:rsidP="00F53EC7">
      <w:pPr>
        <w:spacing w:line="360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LIMA, </w:t>
      </w:r>
      <w:proofErr w:type="spellStart"/>
      <w:r>
        <w:rPr>
          <w:color w:val="000000"/>
        </w:rPr>
        <w:t>Thayara</w:t>
      </w:r>
      <w:proofErr w:type="spellEnd"/>
      <w:r>
        <w:rPr>
          <w:color w:val="000000"/>
        </w:rPr>
        <w:t xml:space="preserve"> C. S. Ensino de História Forjado na Luta: a Cultura de Luta Antirracista e seu </w:t>
      </w:r>
      <w:proofErr w:type="spellStart"/>
      <w:r>
        <w:rPr>
          <w:color w:val="000000"/>
        </w:rPr>
        <w:t>pontencial</w:t>
      </w:r>
      <w:proofErr w:type="spellEnd"/>
      <w:r>
        <w:rPr>
          <w:color w:val="000000"/>
        </w:rPr>
        <w:t xml:space="preserve"> educador. Tese (Doutorado em Educação) Centro de Filosofia e Ciência Humanas, Faculdade de Educação, Universidade Federal do Rio de Janeiro. Rio de Janeiro,2022.</w:t>
      </w:r>
    </w:p>
    <w:p w14:paraId="5ADB3D04" w14:textId="77777777" w:rsidR="00F53EC7" w:rsidRDefault="00F53EC7" w:rsidP="00F53EC7">
      <w:pPr>
        <w:jc w:val="both"/>
      </w:pPr>
    </w:p>
    <w:p w14:paraId="27C09E18" w14:textId="77777777" w:rsidR="00F53EC7" w:rsidRDefault="00F53EC7" w:rsidP="00F53EC7">
      <w:pPr>
        <w:jc w:val="both"/>
      </w:pPr>
      <w:r>
        <w:t xml:space="preserve">MALDONADO-TORRES, Nelson. Analítica da </w:t>
      </w:r>
      <w:proofErr w:type="spellStart"/>
      <w:r>
        <w:t>colonialidade</w:t>
      </w:r>
      <w:proofErr w:type="spellEnd"/>
      <w:r>
        <w:t xml:space="preserve"> e da decolonialidade: algumas dimensões básicas. </w:t>
      </w:r>
      <w:r>
        <w:rPr>
          <w:i/>
        </w:rPr>
        <w:t>In</w:t>
      </w:r>
      <w:r>
        <w:t xml:space="preserve">: BERNARDINO-COSTA, </w:t>
      </w:r>
      <w:proofErr w:type="spellStart"/>
      <w:r>
        <w:t>Joaze</w:t>
      </w:r>
      <w:proofErr w:type="spellEnd"/>
      <w:r>
        <w:t>; MALDONADO-TORRES, Nelson; GROSFOGUE, Ramón (</w:t>
      </w:r>
      <w:proofErr w:type="spellStart"/>
      <w:r>
        <w:t>orgs</w:t>
      </w:r>
      <w:proofErr w:type="spellEnd"/>
      <w:r>
        <w:t xml:space="preserve">.). </w:t>
      </w:r>
      <w:r>
        <w:rPr>
          <w:b/>
        </w:rPr>
        <w:t xml:space="preserve">Decolonialidade e pensamento </w:t>
      </w:r>
      <w:proofErr w:type="spellStart"/>
      <w:r>
        <w:rPr>
          <w:b/>
        </w:rPr>
        <w:t>afrodiaspórico</w:t>
      </w:r>
      <w:proofErr w:type="spellEnd"/>
      <w:r>
        <w:t>.</w:t>
      </w:r>
      <w:r>
        <w:rPr>
          <w:b/>
        </w:rPr>
        <w:t xml:space="preserve"> </w:t>
      </w:r>
      <w:r>
        <w:t>Belo Horizonte: Autêntica Editora, 2018. p. 31-61.</w:t>
      </w:r>
    </w:p>
    <w:p w14:paraId="237DB7D1" w14:textId="77777777" w:rsidR="00F53EC7" w:rsidRDefault="00F53EC7" w:rsidP="00F53EC7">
      <w:pPr>
        <w:jc w:val="both"/>
      </w:pPr>
    </w:p>
    <w:p w14:paraId="29019023" w14:textId="77777777" w:rsidR="00F53EC7" w:rsidRDefault="00F53EC7" w:rsidP="00F53EC7">
      <w:pPr>
        <w:jc w:val="both"/>
      </w:pPr>
      <w:r>
        <w:t xml:space="preserve">MANTOAN, Maria Teresa </w:t>
      </w:r>
      <w:proofErr w:type="spellStart"/>
      <w:r>
        <w:t>Eglér</w:t>
      </w:r>
      <w:proofErr w:type="spellEnd"/>
      <w:r>
        <w:t xml:space="preserve">. </w:t>
      </w:r>
      <w:r>
        <w:rPr>
          <w:b/>
        </w:rPr>
        <w:t>Inclusão escolar</w:t>
      </w:r>
      <w:r>
        <w:t xml:space="preserve">: O que? Por que? Como </w:t>
      </w:r>
      <w:proofErr w:type="gramStart"/>
      <w:r>
        <w:t>fazer?.</w:t>
      </w:r>
      <w:proofErr w:type="gramEnd"/>
      <w:r>
        <w:t xml:space="preserve"> São Paulo. </w:t>
      </w:r>
      <w:proofErr w:type="spellStart"/>
      <w:r>
        <w:t>Summus</w:t>
      </w:r>
      <w:proofErr w:type="spellEnd"/>
      <w:r>
        <w:t>, 2015.</w:t>
      </w:r>
    </w:p>
    <w:p w14:paraId="3C0365EF" w14:textId="77777777" w:rsidR="00F53EC7" w:rsidRDefault="00F53EC7" w:rsidP="00F53EC7">
      <w:pPr>
        <w:jc w:val="both"/>
      </w:pPr>
    </w:p>
    <w:p w14:paraId="696A45C8" w14:textId="77777777" w:rsidR="00F53EC7" w:rsidRDefault="00F53EC7" w:rsidP="00F53EC7">
      <w:pPr>
        <w:jc w:val="both"/>
      </w:pPr>
      <w:r>
        <w:t xml:space="preserve">MBEMBE, Achille. </w:t>
      </w:r>
      <w:r>
        <w:rPr>
          <w:b/>
        </w:rPr>
        <w:t>Crítica da razão negra.</w:t>
      </w:r>
      <w:r>
        <w:t xml:space="preserve"> Trad. Sebastião Nascimento. São Paulo: n-1edições, 2018.</w:t>
      </w:r>
    </w:p>
    <w:p w14:paraId="2D040032" w14:textId="77777777" w:rsidR="00F53EC7" w:rsidRDefault="00F53EC7" w:rsidP="00F53EC7">
      <w:pPr>
        <w:jc w:val="both"/>
      </w:pPr>
    </w:p>
    <w:p w14:paraId="0D883F48" w14:textId="77777777" w:rsidR="00F53EC7" w:rsidRPr="0065215E" w:rsidRDefault="00F53EC7" w:rsidP="00F53EC7">
      <w:pPr>
        <w:jc w:val="both"/>
      </w:pPr>
      <w:r>
        <w:t xml:space="preserve">MENDES, Breno. </w:t>
      </w:r>
      <w:r>
        <w:rPr>
          <w:b/>
          <w:bCs/>
        </w:rPr>
        <w:t xml:space="preserve">Limiar: estudos de teoria, metodologia e ensino de história. </w:t>
      </w:r>
      <w:proofErr w:type="gramStart"/>
      <w:r>
        <w:t>Goiânia :</w:t>
      </w:r>
      <w:proofErr w:type="gramEnd"/>
      <w:r>
        <w:t xml:space="preserve"> </w:t>
      </w:r>
      <w:proofErr w:type="spellStart"/>
      <w:r>
        <w:t>Cegraf</w:t>
      </w:r>
      <w:proofErr w:type="spellEnd"/>
      <w:r>
        <w:t xml:space="preserve"> UFG, 2021.</w:t>
      </w:r>
    </w:p>
    <w:p w14:paraId="3EF05AB7" w14:textId="77777777" w:rsidR="00F53EC7" w:rsidRDefault="00F53EC7" w:rsidP="00F53EC7">
      <w:pPr>
        <w:jc w:val="both"/>
      </w:pPr>
    </w:p>
    <w:p w14:paraId="25D4E2BE" w14:textId="77777777" w:rsidR="00F53EC7" w:rsidRDefault="00F53EC7" w:rsidP="00F53EC7">
      <w:pPr>
        <w:jc w:val="both"/>
      </w:pPr>
      <w:r>
        <w:t xml:space="preserve">MEMMI, Albert. </w:t>
      </w:r>
      <w:r>
        <w:rPr>
          <w:b/>
        </w:rPr>
        <w:t>Retrato do colonizado precedido de Retrato do colonizador</w:t>
      </w:r>
      <w:r>
        <w:t>. Trad. Marcelo Jacques de Moraes. Rio de Janeiro: Civilização brasileira, 2007.</w:t>
      </w:r>
    </w:p>
    <w:p w14:paraId="730B58B4" w14:textId="77777777" w:rsidR="00F53EC7" w:rsidRDefault="00F53EC7" w:rsidP="00F53EC7">
      <w:pPr>
        <w:spacing w:line="360" w:lineRule="auto"/>
        <w:jc w:val="both"/>
        <w:rPr>
          <w:color w:val="000000"/>
        </w:rPr>
      </w:pPr>
    </w:p>
    <w:p w14:paraId="1556EEC0" w14:textId="77777777" w:rsidR="00F53EC7" w:rsidRPr="00E04437" w:rsidRDefault="00F53EC7" w:rsidP="00F53EC7">
      <w:pPr>
        <w:spacing w:line="360" w:lineRule="auto"/>
        <w:jc w:val="both"/>
        <w:rPr>
          <w:color w:val="000000"/>
        </w:rPr>
      </w:pPr>
      <w:r w:rsidRPr="00726BC1">
        <w:rPr>
          <w:color w:val="000000"/>
        </w:rPr>
        <w:t xml:space="preserve">MORAES, Fernanda </w:t>
      </w:r>
      <w:proofErr w:type="spellStart"/>
      <w:r w:rsidRPr="00726BC1">
        <w:rPr>
          <w:color w:val="000000"/>
        </w:rPr>
        <w:t>Pagungue</w:t>
      </w:r>
      <w:proofErr w:type="spellEnd"/>
      <w:r w:rsidRPr="00726BC1">
        <w:rPr>
          <w:color w:val="000000"/>
        </w:rPr>
        <w:t>.</w:t>
      </w:r>
      <w:r>
        <w:rPr>
          <w:color w:val="000000"/>
        </w:rPr>
        <w:t xml:space="preserve"> </w:t>
      </w:r>
      <w:r w:rsidRPr="00726BC1">
        <w:rPr>
          <w:color w:val="000000"/>
        </w:rPr>
        <w:t>Ensino de história e literatura: diálogos possíveis na educação</w:t>
      </w:r>
      <w:r>
        <w:rPr>
          <w:color w:val="000000"/>
        </w:rPr>
        <w:t xml:space="preserve"> </w:t>
      </w:r>
      <w:r w:rsidRPr="00726BC1">
        <w:rPr>
          <w:color w:val="000000"/>
        </w:rPr>
        <w:t>básic</w:t>
      </w:r>
      <w:r>
        <w:rPr>
          <w:color w:val="000000"/>
        </w:rPr>
        <w:t xml:space="preserve">a. </w:t>
      </w:r>
      <w:r w:rsidRPr="00726BC1">
        <w:rPr>
          <w:color w:val="000000"/>
        </w:rPr>
        <w:t>Dissertação (mestrado) – Instituto Federal do Espírito Santo,</w:t>
      </w:r>
      <w:r>
        <w:rPr>
          <w:color w:val="000000"/>
        </w:rPr>
        <w:t xml:space="preserve"> </w:t>
      </w:r>
      <w:r w:rsidRPr="00726BC1">
        <w:rPr>
          <w:color w:val="000000"/>
        </w:rPr>
        <w:t>Programa de Pós-graduação em Ensino de Humanidades, Vitória, 2021</w:t>
      </w:r>
    </w:p>
    <w:p w14:paraId="4311EAE1" w14:textId="77777777" w:rsidR="00F53EC7" w:rsidRDefault="00F53EC7" w:rsidP="00F53EC7">
      <w:pPr>
        <w:jc w:val="both"/>
        <w:rPr>
          <w:b/>
        </w:rPr>
      </w:pPr>
      <w:r>
        <w:t xml:space="preserve">MONTEIRO, Pedro Meira. Machado Black </w:t>
      </w:r>
      <w:proofErr w:type="spellStart"/>
      <w:r>
        <w:t>and</w:t>
      </w:r>
      <w:proofErr w:type="spellEnd"/>
      <w:r>
        <w:t xml:space="preserve"> Blur: a racialização do autor. </w:t>
      </w:r>
      <w:r>
        <w:rPr>
          <w:b/>
        </w:rPr>
        <w:t>Machado de</w:t>
      </w:r>
    </w:p>
    <w:p w14:paraId="216C9D3F" w14:textId="77777777" w:rsidR="00F53EC7" w:rsidRDefault="00F53EC7" w:rsidP="00F53EC7">
      <w:pPr>
        <w:jc w:val="both"/>
      </w:pPr>
      <w:r>
        <w:rPr>
          <w:b/>
        </w:rPr>
        <w:t>Assis em linha</w:t>
      </w:r>
      <w:r>
        <w:t xml:space="preserve">, São Paulo, v. 17, p. 1-25, 2024. DOI: </w:t>
      </w:r>
      <w:hyperlink r:id="rId8">
        <w:r>
          <w:rPr>
            <w:color w:val="467886"/>
            <w:u w:val="single"/>
          </w:rPr>
          <w:t>https://doi.org/10.1590/1983-68212024171</w:t>
        </w:r>
      </w:hyperlink>
      <w:r>
        <w:t xml:space="preserve">. Disponível em: </w:t>
      </w:r>
      <w:hyperlink r:id="rId9">
        <w:r>
          <w:rPr>
            <w:color w:val="467886"/>
            <w:u w:val="single"/>
          </w:rPr>
          <w:t>https://www.scielo.br/j/mael/a/sPzck3KBBydxDyJkjnfFrZx/</w:t>
        </w:r>
      </w:hyperlink>
      <w:r>
        <w:t xml:space="preserve">. </w:t>
      </w:r>
    </w:p>
    <w:p w14:paraId="5ED935C1" w14:textId="77777777" w:rsidR="00F53EC7" w:rsidRDefault="00F53EC7" w:rsidP="00F53EC7">
      <w:pPr>
        <w:jc w:val="both"/>
      </w:pPr>
      <w:r>
        <w:t>Acesso em: 12 dez. 2024.</w:t>
      </w:r>
    </w:p>
    <w:p w14:paraId="4DF00BF9" w14:textId="77777777" w:rsidR="00F53EC7" w:rsidRDefault="00F53EC7" w:rsidP="00F53EC7">
      <w:pPr>
        <w:jc w:val="both"/>
      </w:pPr>
    </w:p>
    <w:p w14:paraId="0D0827A7" w14:textId="77777777" w:rsidR="00F53EC7" w:rsidRDefault="00F53EC7" w:rsidP="00F53EC7">
      <w:pPr>
        <w:jc w:val="both"/>
      </w:pPr>
      <w:r>
        <w:t xml:space="preserve">MUNANGA, </w:t>
      </w:r>
      <w:proofErr w:type="spellStart"/>
      <w:r>
        <w:t>Kabengele</w:t>
      </w:r>
      <w:proofErr w:type="spellEnd"/>
      <w:r>
        <w:t xml:space="preserve">. </w:t>
      </w:r>
      <w:r>
        <w:rPr>
          <w:b/>
        </w:rPr>
        <w:t>Negritude</w:t>
      </w:r>
      <w:r>
        <w:t>: usos e sentidos. 3. ed. Belo Horizonte: Autêntica Editora, 2012.</w:t>
      </w:r>
    </w:p>
    <w:p w14:paraId="0CE5DD21" w14:textId="77777777" w:rsidR="00F53EC7" w:rsidRDefault="00F53EC7" w:rsidP="00F53EC7">
      <w:pPr>
        <w:jc w:val="both"/>
      </w:pPr>
    </w:p>
    <w:p w14:paraId="6960FBF3" w14:textId="77777777" w:rsidR="00F53EC7" w:rsidRDefault="00F53EC7" w:rsidP="00F53EC7">
      <w:pPr>
        <w:jc w:val="both"/>
      </w:pPr>
      <w:r>
        <w:t xml:space="preserve">PEREIRA, </w:t>
      </w:r>
      <w:proofErr w:type="spellStart"/>
      <w:r>
        <w:t>Almicar</w:t>
      </w:r>
      <w:proofErr w:type="spellEnd"/>
      <w:r>
        <w:t xml:space="preserve"> Araujo. Black Lives Matter nos currículos? Imprensa negra e </w:t>
      </w:r>
    </w:p>
    <w:p w14:paraId="48AE85A0" w14:textId="77777777" w:rsidR="00F53EC7" w:rsidRDefault="00F53EC7" w:rsidP="00F53EC7">
      <w:pPr>
        <w:jc w:val="both"/>
      </w:pPr>
      <w:r>
        <w:t xml:space="preserve">PINHEIRO, Bárbara Carine Soares. </w:t>
      </w:r>
      <w:r>
        <w:rPr>
          <w:b/>
        </w:rPr>
        <w:t>Como ser um educador antirracista</w:t>
      </w:r>
      <w:r>
        <w:t>. São Paulo: Planeta do Brasil, 2023.</w:t>
      </w:r>
    </w:p>
    <w:p w14:paraId="6A4917A0" w14:textId="77777777" w:rsidR="00F53EC7" w:rsidRDefault="00F53EC7" w:rsidP="00F53EC7">
      <w:pPr>
        <w:jc w:val="both"/>
      </w:pPr>
    </w:p>
    <w:p w14:paraId="111C406D" w14:textId="77777777" w:rsidR="00F53EC7" w:rsidRDefault="00F53EC7" w:rsidP="00F53EC7">
      <w:pPr>
        <w:jc w:val="both"/>
      </w:pPr>
      <w:r>
        <w:t xml:space="preserve">QUIJANO, Anibal. </w:t>
      </w:r>
      <w:proofErr w:type="spellStart"/>
      <w:r>
        <w:t>Colonialidade</w:t>
      </w:r>
      <w:proofErr w:type="spellEnd"/>
      <w:r>
        <w:t xml:space="preserve"> do poder e classificação social. </w:t>
      </w:r>
      <w:r>
        <w:rPr>
          <w:i/>
        </w:rPr>
        <w:t>In:</w:t>
      </w:r>
      <w:r>
        <w:t xml:space="preserve"> SANTOS, Boaventura de Sousa; MENESES, Maria Paula (</w:t>
      </w:r>
      <w:proofErr w:type="spellStart"/>
      <w:r>
        <w:t>orgs</w:t>
      </w:r>
      <w:proofErr w:type="spellEnd"/>
      <w:r>
        <w:t xml:space="preserve">.). </w:t>
      </w:r>
      <w:r>
        <w:rPr>
          <w:b/>
        </w:rPr>
        <w:t>Epistemologias do Sul</w:t>
      </w:r>
      <w:r>
        <w:t>. Coimbra: Edições Almedina, 2009. p. 72-117.</w:t>
      </w:r>
    </w:p>
    <w:p w14:paraId="03E04D46" w14:textId="77777777" w:rsidR="00F53EC7" w:rsidRDefault="00F53EC7" w:rsidP="00F53EC7">
      <w:pPr>
        <w:jc w:val="both"/>
      </w:pPr>
    </w:p>
    <w:p w14:paraId="4F012855" w14:textId="77777777" w:rsidR="00F53EC7" w:rsidRDefault="00F53EC7" w:rsidP="00F53EC7">
      <w:pPr>
        <w:jc w:val="both"/>
      </w:pPr>
      <w:r>
        <w:t xml:space="preserve">RUFINO, Luiz. </w:t>
      </w:r>
      <w:r>
        <w:rPr>
          <w:b/>
        </w:rPr>
        <w:t>Vence–demanda</w:t>
      </w:r>
      <w:r>
        <w:t>: educação e descolonização. Rio de Janeiro: Mórula, 2021.</w:t>
      </w:r>
    </w:p>
    <w:p w14:paraId="7A751DAA" w14:textId="77777777" w:rsidR="00F53EC7" w:rsidRDefault="00F53EC7" w:rsidP="00F53EC7">
      <w:pPr>
        <w:jc w:val="both"/>
      </w:pPr>
      <w:r>
        <w:t xml:space="preserve"> </w:t>
      </w:r>
    </w:p>
    <w:p w14:paraId="7A000C53" w14:textId="77777777" w:rsidR="00F53EC7" w:rsidRDefault="00F53EC7" w:rsidP="00F53EC7">
      <w:pPr>
        <w:jc w:val="both"/>
      </w:pPr>
      <w:r>
        <w:t xml:space="preserve">RUFFATO, Luiz. À flor da pele. </w:t>
      </w:r>
      <w:r>
        <w:rPr>
          <w:i/>
        </w:rPr>
        <w:t>In</w:t>
      </w:r>
      <w:r>
        <w:t xml:space="preserve">: RUFATTO, Luiz (org.). </w:t>
      </w:r>
      <w:r>
        <w:rPr>
          <w:b/>
        </w:rPr>
        <w:t>Questão de pele</w:t>
      </w:r>
      <w:r>
        <w:t>. Rio de Janeiro: Língua Geral, 2009. p. 11-18.</w:t>
      </w:r>
    </w:p>
    <w:p w14:paraId="6EE5B8DF" w14:textId="77777777" w:rsidR="00F53EC7" w:rsidRDefault="00F53EC7" w:rsidP="00F53EC7">
      <w:pPr>
        <w:jc w:val="both"/>
      </w:pPr>
    </w:p>
    <w:p w14:paraId="7DF2326D" w14:textId="77777777" w:rsidR="00F53EC7" w:rsidRDefault="00F53EC7" w:rsidP="00F53EC7">
      <w:pPr>
        <w:jc w:val="both"/>
        <w:rPr>
          <w:color w:val="EE0000"/>
        </w:rPr>
      </w:pPr>
      <w:r>
        <w:t xml:space="preserve">SAVIANI, Demerval. </w:t>
      </w:r>
      <w:r>
        <w:rPr>
          <w:b/>
        </w:rPr>
        <w:t>Escola e democracia</w:t>
      </w:r>
      <w:r>
        <w:t xml:space="preserve">. 4. ed. Campinas: Autores Associados, </w:t>
      </w:r>
      <w:r>
        <w:rPr>
          <w:color w:val="000000"/>
        </w:rPr>
        <w:t>2008</w:t>
      </w:r>
      <w:r>
        <w:rPr>
          <w:color w:val="EE0000"/>
        </w:rPr>
        <w:t>.</w:t>
      </w:r>
    </w:p>
    <w:p w14:paraId="4F8583B2" w14:textId="77777777" w:rsidR="00F53EC7" w:rsidRDefault="00F53EC7" w:rsidP="00F53EC7">
      <w:pPr>
        <w:jc w:val="both"/>
        <w:rPr>
          <w:color w:val="EE0000"/>
        </w:rPr>
      </w:pPr>
      <w:r>
        <w:rPr>
          <w:color w:val="EE0000"/>
        </w:rPr>
        <w:t xml:space="preserve"> </w:t>
      </w:r>
    </w:p>
    <w:p w14:paraId="501A267E" w14:textId="77777777" w:rsidR="00F53EC7" w:rsidRDefault="00F53EC7" w:rsidP="00F53EC7">
      <w:pPr>
        <w:jc w:val="both"/>
      </w:pPr>
      <w:r>
        <w:t xml:space="preserve">SEGATO, Rita. </w:t>
      </w:r>
      <w:r>
        <w:rPr>
          <w:b/>
        </w:rPr>
        <w:t xml:space="preserve">Crítica da </w:t>
      </w:r>
      <w:proofErr w:type="spellStart"/>
      <w:r>
        <w:rPr>
          <w:b/>
        </w:rPr>
        <w:t>colonialidade</w:t>
      </w:r>
      <w:proofErr w:type="spellEnd"/>
      <w:r>
        <w:rPr>
          <w:b/>
        </w:rPr>
        <w:t xml:space="preserve"> em oito ensaios</w:t>
      </w:r>
      <w:r>
        <w:t>: a uma antropologia por demanda. Rio de Janeiro: Bazar Tempo, 2021.</w:t>
      </w:r>
    </w:p>
    <w:p w14:paraId="1643A005" w14:textId="77777777" w:rsidR="00F53EC7" w:rsidRDefault="00F53EC7" w:rsidP="00F53EC7">
      <w:pPr>
        <w:jc w:val="both"/>
      </w:pPr>
    </w:p>
    <w:p w14:paraId="3B5E970A" w14:textId="77777777" w:rsidR="00F53EC7" w:rsidRPr="00A36742" w:rsidRDefault="00F53EC7" w:rsidP="00F53EC7">
      <w:pPr>
        <w:jc w:val="both"/>
      </w:pPr>
      <w:r>
        <w:t xml:space="preserve">THING’O, </w:t>
      </w:r>
      <w:proofErr w:type="spellStart"/>
      <w:r>
        <w:t>Ngugü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. </w:t>
      </w:r>
      <w:r>
        <w:rPr>
          <w:b/>
          <w:bCs/>
        </w:rPr>
        <w:t>Descolonizando a mente: a política linguística na literatura africana</w:t>
      </w:r>
      <w:r>
        <w:t>; trad. Hilton Lima. Porto Alegre: Dublinense, 2025.</w:t>
      </w:r>
    </w:p>
    <w:p w14:paraId="36D52F74" w14:textId="77777777" w:rsidR="00F53EC7" w:rsidRDefault="00F53EC7" w:rsidP="00F53EC7">
      <w:pPr>
        <w:jc w:val="both"/>
      </w:pPr>
    </w:p>
    <w:p w14:paraId="581FAD86" w14:textId="2B8A404C" w:rsidR="00404A4E" w:rsidRDefault="00F53EC7" w:rsidP="00F53EC7">
      <w:pPr>
        <w:jc w:val="both"/>
      </w:pPr>
      <w:r>
        <w:t xml:space="preserve">TRINDADE, </w:t>
      </w:r>
      <w:proofErr w:type="spellStart"/>
      <w:r>
        <w:t>Azoilda</w:t>
      </w:r>
      <w:proofErr w:type="spellEnd"/>
      <w:r>
        <w:t xml:space="preserve"> </w:t>
      </w:r>
      <w:proofErr w:type="spellStart"/>
      <w:r>
        <w:t>Loretto</w:t>
      </w:r>
      <w:proofErr w:type="spellEnd"/>
      <w:r>
        <w:t>; SANTOS, Rafael (</w:t>
      </w:r>
      <w:proofErr w:type="spellStart"/>
      <w:r>
        <w:t>orgs</w:t>
      </w:r>
      <w:proofErr w:type="spellEnd"/>
      <w:r>
        <w:t xml:space="preserve">.). </w:t>
      </w:r>
      <w:r>
        <w:rPr>
          <w:b/>
        </w:rPr>
        <w:t>Multiculturalismo</w:t>
      </w:r>
      <w:r>
        <w:t>: mil e uma faces da escola. Rio de Janeiro: DP&amp;A, 2000.</w:t>
      </w:r>
    </w:p>
    <w:p w14:paraId="5250C293" w14:textId="77777777" w:rsidR="00404A4E" w:rsidRDefault="00404A4E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404A4E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2E2E2" w14:textId="77777777" w:rsidR="00727561" w:rsidRDefault="00727561">
      <w:pPr>
        <w:spacing w:line="240" w:lineRule="auto"/>
      </w:pPr>
      <w:r>
        <w:separator/>
      </w:r>
    </w:p>
  </w:endnote>
  <w:endnote w:type="continuationSeparator" w:id="0">
    <w:p w14:paraId="1A77990D" w14:textId="77777777" w:rsidR="00727561" w:rsidRDefault="00727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40BAA81-0349-4D59-B36C-F74210418D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6B0A34-0E62-47A2-9A8C-2B316D803F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9C672" w14:textId="77777777" w:rsidR="00404A4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B0B5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9DABD" w14:textId="77777777" w:rsidR="00404A4E" w:rsidRDefault="00404A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F4D4A" w14:textId="77777777" w:rsidR="00727561" w:rsidRDefault="00727561">
      <w:pPr>
        <w:spacing w:line="240" w:lineRule="auto"/>
      </w:pPr>
      <w:r>
        <w:separator/>
      </w:r>
    </w:p>
  </w:footnote>
  <w:footnote w:type="continuationSeparator" w:id="0">
    <w:p w14:paraId="12127DB4" w14:textId="77777777" w:rsidR="00727561" w:rsidRDefault="007275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319E9" w14:textId="77777777" w:rsidR="00404A4E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84196B1" wp14:editId="373EFC9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66BE83F" wp14:editId="74B97ABF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35A76F" w14:textId="77777777" w:rsidR="00404A4E" w:rsidRDefault="00404A4E">
    <w:pPr>
      <w:jc w:val="right"/>
    </w:pPr>
  </w:p>
  <w:p w14:paraId="2065121C" w14:textId="77777777" w:rsidR="00404A4E" w:rsidRDefault="00404A4E">
    <w:pPr>
      <w:jc w:val="right"/>
    </w:pPr>
  </w:p>
  <w:p w14:paraId="60748C45" w14:textId="77777777" w:rsidR="00404A4E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AA6E4A1" wp14:editId="3F9DB60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37E0C" w14:textId="77777777" w:rsidR="00404A4E" w:rsidRDefault="00404A4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A4E"/>
    <w:rsid w:val="003D43F7"/>
    <w:rsid w:val="00404A4E"/>
    <w:rsid w:val="00727561"/>
    <w:rsid w:val="008B0B5C"/>
    <w:rsid w:val="00C06301"/>
    <w:rsid w:val="00F5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D8C40"/>
  <w15:docId w15:val="{16B44EFF-3452-415B-A828-98FCC445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rsid w:val="00F53E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590/1983-68212024171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www.gov.br/inep/pt-br/centrais-de-conteudo/acervo-linha-editorial/publicacoes-diversas/temas-interdisciplinares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2003/l10.639.htm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www.scielo.br/j/mael/a/sPzck3KBBydxDyJkjnfFrZx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1724</Words>
  <Characters>9310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Ana Carolina Andalecio</cp:lastModifiedBy>
  <cp:revision>2</cp:revision>
  <dcterms:created xsi:type="dcterms:W3CDTF">2026-07-27T13:00:00Z</dcterms:created>
  <dcterms:modified xsi:type="dcterms:W3CDTF">2026-07-27T13:00:00Z</dcterms:modified>
</cp:coreProperties>
</file>