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spacing w:after="96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15 - GÊNERO, RAÇA E SEXUALIDADE NA EDUCAÇÃO: INTERSECCIONALIDADES, TERRITÓRIOS DE (RE)EXISTÊNCIA E PEDAGOGIAS DESOBEDIENTES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os passarinhos viram a caça: algumas questões sobre gênero, raça, sexualidades e violência no Sul do Piauí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Paulo Brito do Prado, UFPI/Univasf</w:t>
      </w:r>
    </w:p>
    <w:p w:rsidR="00000000" w:rsidDel="00000000" w:rsidP="00000000" w:rsidRDefault="00000000" w:rsidRPr="00000000" w14:paraId="00000008">
      <w:pPr>
        <w:keepLines w:val="1"/>
        <w:widowControl w:val="0"/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E-mail: paulobritogo@yahoo.com.br</w:t>
      </w:r>
    </w:p>
    <w:p w:rsidR="00000000" w:rsidDel="00000000" w:rsidP="00000000" w:rsidRDefault="00000000" w:rsidRPr="00000000" w14:paraId="00000009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line="360" w:lineRule="auto"/>
        <w:ind w:firstLine="1700.7874015748032"/>
        <w:jc w:val="both"/>
        <w:rPr>
          <w:sz w:val="24"/>
          <w:szCs w:val="24"/>
        </w:rPr>
      </w:pPr>
      <w:bookmarkStart w:colFirst="0" w:colLast="0" w:name="_113pult7qrqo" w:id="0"/>
      <w:bookmarkEnd w:id="0"/>
      <w:r w:rsidDel="00000000" w:rsidR="00000000" w:rsidRPr="00000000">
        <w:rPr>
          <w:sz w:val="24"/>
          <w:szCs w:val="24"/>
          <w:rtl w:val="0"/>
        </w:rPr>
        <w:t xml:space="preserve">A proposta resulta de investigações realizadas no Sul do Piauí com foco nas questões de gênero, raça e de sexualidades, entre moradores de pequenas cidades da região e de comunidades camponesas impactadas nos últimos 20 anos pelo avanço do agronegócio e integrados ao MATOPIBA, ou à última fronteira agrícola do Brasil, nas áreas de cerrado dos Estados do Maranhão, Tocantins, Piauí e da Bahia. A investigação têm sido realizada mediante estudos bibliográficos e a consulta a dados quantitativos, visitas a comunidades camponesas e observações participantes. As abordagens epistemológicas se localizam entre os estudos de história social e agrária, antropologia social, os estudos de gênero, sexualidades, raça e de educação, logo são mobilizados autores como Scott (2008), Guimarães (2010), dentre outros.</w:t>
      </w:r>
    </w:p>
    <w:p w:rsidR="00000000" w:rsidDel="00000000" w:rsidP="00000000" w:rsidRDefault="00000000" w:rsidRPr="00000000" w14:paraId="0000000C">
      <w:pPr>
        <w:spacing w:line="360" w:lineRule="auto"/>
        <w:ind w:firstLine="1700.7874015748032"/>
        <w:jc w:val="both"/>
        <w:rPr>
          <w:sz w:val="24"/>
          <w:szCs w:val="24"/>
        </w:rPr>
      </w:pPr>
      <w:bookmarkStart w:colFirst="0" w:colLast="0" w:name="_omi7qosfto6t" w:id="1"/>
      <w:bookmarkEnd w:id="1"/>
      <w:r w:rsidDel="00000000" w:rsidR="00000000" w:rsidRPr="00000000">
        <w:rPr>
          <w:sz w:val="24"/>
          <w:szCs w:val="24"/>
          <w:rtl w:val="0"/>
        </w:rPr>
        <w:t xml:space="preserve">As problemáticas da pesquisa se voltam para o entendimento das relações de gênero e de sexualidades em interface com as questões de raça, geração e de região em área influenciada pelo agronegócio e por conflitos agrários. Dito de tal modo pergunta-se em que medida o MATOPIBA influência na intensificação da violência sexual e de gênero, no racismo e nas desigualdades regionais entre comunidades camponesas?</w:t>
      </w:r>
    </w:p>
    <w:p w:rsidR="00000000" w:rsidDel="00000000" w:rsidP="00000000" w:rsidRDefault="00000000" w:rsidRPr="00000000" w14:paraId="0000000D">
      <w:pPr>
        <w:spacing w:line="360" w:lineRule="auto"/>
        <w:ind w:firstLine="1700.7874015748032"/>
        <w:jc w:val="both"/>
        <w:rPr>
          <w:sz w:val="24"/>
          <w:szCs w:val="24"/>
        </w:rPr>
      </w:pPr>
      <w:bookmarkStart w:colFirst="0" w:colLast="0" w:name="_pnafqocyj6no" w:id="2"/>
      <w:bookmarkEnd w:id="2"/>
      <w:r w:rsidDel="00000000" w:rsidR="00000000" w:rsidRPr="00000000">
        <w:rPr>
          <w:sz w:val="24"/>
          <w:szCs w:val="24"/>
          <w:rtl w:val="0"/>
        </w:rPr>
        <w:t xml:space="preserve">Em princípio, os sujeitos da pesquisa eram apenas as mulheres e as suas experiências sociais em uma região de fronteira agrícola, porém, à medida em que a pesquisa se aprofundou os dados exigiram a pluralização dos sujeitos. Além das mulheres passou-se a acompanhar as experiências de homens, principalmente por conta dos numerosos casos de pedofilia e de feminicidio relatados pelas autoridades policiais, adicionadas daquelas informações oferecidas por moradores de comunidades acerca das múltiplas situações de racismo e violência sexual.</w:t>
      </w:r>
    </w:p>
    <w:p w:rsidR="00000000" w:rsidDel="00000000" w:rsidP="00000000" w:rsidRDefault="00000000" w:rsidRPr="00000000" w14:paraId="0000000E">
      <w:pPr>
        <w:spacing w:line="360" w:lineRule="auto"/>
        <w:ind w:firstLine="1700.7874015748032"/>
        <w:jc w:val="both"/>
        <w:rPr>
          <w:sz w:val="24"/>
          <w:szCs w:val="24"/>
        </w:rPr>
      </w:pPr>
      <w:bookmarkStart w:colFirst="0" w:colLast="0" w:name="_ea8shhnpi0k0" w:id="3"/>
      <w:bookmarkEnd w:id="3"/>
      <w:r w:rsidDel="00000000" w:rsidR="00000000" w:rsidRPr="00000000">
        <w:rPr>
          <w:sz w:val="24"/>
          <w:szCs w:val="24"/>
          <w:rtl w:val="0"/>
        </w:rPr>
        <w:t xml:space="preserve">Os dados preliminares têm ilustrado uma região extremamente perigosa para as mulheres negras, os seus filhos e para os homossexuais. A região têm se evidenciado como um marcador de diferença interseccionado ao gênero, sexualidade, raça e geração. Isso significa que ser mulher negra, criança, homossexual, viver no Sul do Piauí e em suas comunidades camponesas compõem marcas sociais que explicitam violências simultâneas aglutinadas às injustiças e as hierarquias de raça, gênero, sexualidade, geração e região. Porém o manejo da região como um marcador não ocorre por conta do aparente isolamento das comunidades camponesas em relação aos centros urbanos ou por questões endógenas. O que se têm observado é que a pouca presença do Estado no interior dessas comunidades, mediante a quase nenhuma permeabilidade de políticas públicas, simultaneamente ao fechamento de escolas do campo, dentre outros serviços facilita o acesso descontrolado de transeuntes a estas comunidades, aproximando-as do consumo de bebidas alcoólicas, drogas e da prosticuição.</w:t>
      </w:r>
    </w:p>
    <w:p w:rsidR="00000000" w:rsidDel="00000000" w:rsidP="00000000" w:rsidRDefault="00000000" w:rsidRPr="00000000" w14:paraId="0000000F">
      <w:pPr>
        <w:spacing w:line="360" w:lineRule="auto"/>
        <w:ind w:firstLine="1700.7874015748032"/>
        <w:jc w:val="both"/>
        <w:rPr>
          <w:sz w:val="24"/>
          <w:szCs w:val="24"/>
        </w:rPr>
      </w:pPr>
      <w:bookmarkStart w:colFirst="0" w:colLast="0" w:name="_vslzj45mpmks" w:id="4"/>
      <w:bookmarkEnd w:id="4"/>
      <w:r w:rsidDel="00000000" w:rsidR="00000000" w:rsidRPr="00000000">
        <w:rPr>
          <w:sz w:val="24"/>
          <w:szCs w:val="24"/>
          <w:rtl w:val="0"/>
        </w:rPr>
        <w:t xml:space="preserve">Na ausência do Estado (ou em sua omissão voluntária), as relações violentas presentes no agronegócio, na exploração do trabalho no campo e na apartagem em que as comunidades camponesas terminam por conta de estarem no meio de imensas áreas de plantio das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commodities</w:t>
      </w:r>
      <w:r w:rsidDel="00000000" w:rsidR="00000000" w:rsidRPr="00000000">
        <w:rPr>
          <w:sz w:val="24"/>
          <w:szCs w:val="24"/>
          <w:rtl w:val="0"/>
        </w:rPr>
        <w:t xml:space="preserve"> de soja, milho e algodão, deixam-as extremamente vulneráveis, dificultam o acesso aos serviços públicos de segurança, saúde, educação, informação e as colocam à própria sorte frente ao poder/influência de fazendeiros, seus jagunços, capangas e trabalhadores do agronegócio em constante trânsito que consomem o sexo, as bebidas, as drogas e a miséria resultante da ausência do Estado em áreas de interior do Brasil.</w:t>
      </w:r>
    </w:p>
    <w:p w:rsidR="00000000" w:rsidDel="00000000" w:rsidP="00000000" w:rsidRDefault="00000000" w:rsidRPr="00000000" w14:paraId="00000010">
      <w:pPr>
        <w:spacing w:line="360" w:lineRule="auto"/>
        <w:ind w:firstLine="1700.7874015748032"/>
        <w:jc w:val="both"/>
        <w:rPr>
          <w:sz w:val="24"/>
          <w:szCs w:val="24"/>
        </w:rPr>
      </w:pPr>
      <w:bookmarkStart w:colFirst="0" w:colLast="0" w:name="_6uv49lpsfeqh" w:id="5"/>
      <w:bookmarkEnd w:id="5"/>
      <w:r w:rsidDel="00000000" w:rsidR="00000000" w:rsidRPr="00000000">
        <w:rPr>
          <w:sz w:val="24"/>
          <w:szCs w:val="24"/>
          <w:rtl w:val="0"/>
        </w:rPr>
        <w:t xml:space="preserve">Esta realidade tem mostrado que além de o agronegócio potencializar situações de violência de gênero e sexual, potencializar o racismo ambiental e o sexismo contra as mulheres, também contribuiu na lugarização de jovens e homossexuais em situação de vulnerabilidade e de exploração sexual.</w:t>
      </w:r>
    </w:p>
    <w:p w:rsidR="00000000" w:rsidDel="00000000" w:rsidP="00000000" w:rsidRDefault="00000000" w:rsidRPr="00000000" w14:paraId="00000011">
      <w:pPr>
        <w:spacing w:line="360" w:lineRule="auto"/>
        <w:ind w:firstLine="1700.7874015748032"/>
        <w:jc w:val="both"/>
        <w:rPr>
          <w:sz w:val="24"/>
          <w:szCs w:val="24"/>
        </w:rPr>
      </w:pPr>
      <w:bookmarkStart w:colFirst="0" w:colLast="0" w:name="_v5ek8rs2rniz" w:id="6"/>
      <w:bookmarkEnd w:id="6"/>
      <w:r w:rsidDel="00000000" w:rsidR="00000000" w:rsidRPr="00000000">
        <w:rPr>
          <w:sz w:val="24"/>
          <w:szCs w:val="24"/>
          <w:rtl w:val="0"/>
        </w:rPr>
        <w:t xml:space="preserve">Tais dados têm aparecido a partir das informações coletadas junto à delegacia de polícia de Bom Jesus e em atividades de campo realizadas no interior das comunidades. No entanto, o dado (ainda) mais sensível é aquele relativo aos casos de violência sexual contra crianças que habitam comunidades e cidades da região, a pedofilia e a hipersexualização a que jovens gays tem sido submetidos sem qualquer intervenção por parte do Estado no que tange reconhecimento, combate, educação, letramento e a garantia do direito à infância e juventude.</w:t>
      </w:r>
    </w:p>
    <w:p w:rsidR="00000000" w:rsidDel="00000000" w:rsidP="00000000" w:rsidRDefault="00000000" w:rsidRPr="00000000" w14:paraId="00000012">
      <w:pPr>
        <w:spacing w:line="360" w:lineRule="auto"/>
        <w:ind w:firstLine="1700.7874015748032"/>
        <w:jc w:val="both"/>
        <w:rPr>
          <w:sz w:val="24"/>
          <w:szCs w:val="24"/>
        </w:rPr>
      </w:pPr>
      <w:bookmarkStart w:colFirst="0" w:colLast="0" w:name="_2kv0yaphaff5" w:id="7"/>
      <w:bookmarkEnd w:id="7"/>
      <w:r w:rsidDel="00000000" w:rsidR="00000000" w:rsidRPr="00000000">
        <w:rPr>
          <w:sz w:val="24"/>
          <w:szCs w:val="24"/>
          <w:rtl w:val="0"/>
        </w:rPr>
        <w:t xml:space="preserve">Em diálogos realizados com três jovens homens gays, dois negros e um branco, ambos habitantes das mencionadas cidades, todos com idades acima dos dezoito anos, tratou-se de temas sobre as experiências homoafetivas, saídas do armário e o início da vida sexual. Muitos destacaram ter iniciado as experiências homoafetivas antes de alcançarem a vida adulta. Todos  contaram ter tido suas primeiras relações sexuais com outros homens (sempre mais velhos e “sigilosos”) quando ainda tinham entre treze e quinze anos. Segundo os relatos, era bastante comum saírem um ou dois “meninos”, acompanhados por um vizinho mais velho “de confiança da família” ou “dos pais”, mediante a desculpa de procurar mel e “caçar passarinhos” para, na verdade, fazer sexo em áreas de floresta.</w:t>
      </w:r>
    </w:p>
    <w:p w:rsidR="00000000" w:rsidDel="00000000" w:rsidP="00000000" w:rsidRDefault="00000000" w:rsidRPr="00000000" w14:paraId="00000013">
      <w:pPr>
        <w:spacing w:line="360" w:lineRule="auto"/>
        <w:ind w:firstLine="1700.7874015748032"/>
        <w:jc w:val="both"/>
        <w:rPr>
          <w:sz w:val="24"/>
          <w:szCs w:val="24"/>
        </w:rPr>
      </w:pPr>
      <w:bookmarkStart w:colFirst="0" w:colLast="0" w:name="_gyqxwd25kk8g" w:id="8"/>
      <w:bookmarkEnd w:id="8"/>
      <w:r w:rsidDel="00000000" w:rsidR="00000000" w:rsidRPr="00000000">
        <w:rPr>
          <w:sz w:val="24"/>
          <w:szCs w:val="24"/>
          <w:rtl w:val="0"/>
        </w:rPr>
        <w:t xml:space="preserve">Os interlocutores contaram que a “caça aos passarinhos” sempre se traduziam em banhos de riachos e sexo. Pontuaram que estas experiências eram seguidas por conversas sobre a necessidade do sigilo, da guarda do segredo e de ameaças. Alguns destacaram que nem sempre o envolvimento sexual se dava de forma consensual. Um deles lembrou ter traduzido o seu primeiro relacionamento sexual em um estupro e que no momento não soube compreender o que lhe ocorrera. Segundo ele, ainda que tenha pedido pela interrupção do sexo, foi ignorado, segurado contra a sua vontade e penetrado. O interlocutor trouxe esta informação para explicar que não se sentia confortável em ser passivo na relação sexual, sempre optando por ser ativo. Ao retomar suas memórias de infância e de adolescência, corroborou as informações oferecidas pelos demais interlocutores e reforçou o total desconhecimento das questões relativas à sexualidade, ao gênero e á pedofilia. Ambos destacaram que na época em que eram crianças e/ou adolescentes não sabiam bem o que lhes estava ocorrendo, sabiam que desejavam aquele envolvimento homoafetivo, que desejavam outros homens, mas não tinham repertório para interpretar, classificar, se proteger ou posicionar-se diante de qualquer tipo de violência. Destacaram que a escola se omitia sobre tais temas, a família os tomavam como naturalmente heterossexuais e que ninguém falava sobre tais questões, logo todos permaneceram à revelia de homens mais velhos e terminaram caçados como os passarinhos que ocasionalmente convocar para justificar as aventuras (perigosas) e solitárias na busca de autoconhecimento.</w:t>
      </w:r>
    </w:p>
    <w:p w:rsidR="00000000" w:rsidDel="00000000" w:rsidP="00000000" w:rsidRDefault="00000000" w:rsidRPr="00000000" w14:paraId="00000014">
      <w:pPr>
        <w:spacing w:line="360" w:lineRule="auto"/>
        <w:ind w:firstLine="1700.7874015748032"/>
        <w:jc w:val="both"/>
        <w:rPr>
          <w:sz w:val="24"/>
          <w:szCs w:val="24"/>
        </w:rPr>
      </w:pPr>
      <w:bookmarkStart w:colFirst="0" w:colLast="0" w:name="_rh4qq46kofg" w:id="9"/>
      <w:bookmarkEnd w:id="9"/>
      <w:r w:rsidDel="00000000" w:rsidR="00000000" w:rsidRPr="00000000">
        <w:rPr>
          <w:sz w:val="24"/>
          <w:szCs w:val="24"/>
          <w:rtl w:val="0"/>
        </w:rPr>
        <w:t xml:space="preserve">Embora os dados sejam introdutórios observa-se que a ausência de informações claras sobre as questões de gênero, sexualidades e a pouco presença do Estado em áreas dominadas pelo agronegócio contribui potencialmente para a transformação de regiões em marcadores que hierarquizam específicos sujeitos já oprimidos por outras marcas e que se desenrolam simultaneamente a partir da intersecção entre outras opressões, contribuindo para a continuidade da violência contra mulheres, homossexuais e a pedofilia. Tais informações, embora assustadoras e preocupantes, denotam a necessidade de compreensão e de intervenção por parte do Estado a partir de políticas públicas localizadas.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>
          <w:sz w:val="24"/>
          <w:szCs w:val="24"/>
        </w:rPr>
      </w:pPr>
      <w:bookmarkStart w:colFirst="0" w:colLast="0" w:name="_9xnxd7kncmu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xcqtc7j2qp2g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sz w:val="24"/>
          <w:szCs w:val="24"/>
        </w:rPr>
      </w:pPr>
      <w:bookmarkStart w:colFirst="0" w:colLast="0" w:name="_fierequcgnh8" w:id="12"/>
      <w:bookmarkEnd w:id="12"/>
      <w:r w:rsidDel="00000000" w:rsidR="00000000" w:rsidRPr="00000000">
        <w:rPr>
          <w:sz w:val="24"/>
          <w:szCs w:val="24"/>
          <w:rtl w:val="0"/>
        </w:rPr>
        <w:t xml:space="preserve">MATOPIBA; Sul do Piauí; Gênero; Raça; Sexualidades;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sz w:val="24"/>
          <w:szCs w:val="24"/>
        </w:rPr>
      </w:pPr>
      <w:bookmarkStart w:colFirst="0" w:colLast="0" w:name="_xy2e2pm9da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both"/>
        <w:rPr>
          <w:sz w:val="24"/>
          <w:szCs w:val="24"/>
        </w:rPr>
      </w:pPr>
      <w:bookmarkStart w:colFirst="0" w:colLast="0" w:name="_qnt9l97klc7t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SCOTT, 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W.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Género e História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 México: FCE, Universidad Autónoma de la Ciudad de México, 2008.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GUIMARÃES, A. S.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Classe, raça e democracia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São Paulo: Ed. 34, 2002.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-304164</wp:posOffset>
          </wp:positionV>
          <wp:extent cx="664882" cy="76200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-5079</wp:posOffset>
          </wp:positionV>
          <wp:extent cx="416339" cy="1071657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eyJoZGlkIjoiMTdiOTRjMjczYWE3NmNjYmQ2NjU1YTAwNDYzZTM5ZmYiLCJ1c2VySWQiOiIxMjU0NzY1NzgyMjM0In0=</vt:lpwstr>
  </property>
  <property fmtid="{D5CDD505-2E9C-101B-9397-08002B2CF9AE}" pid="3" name="KSOProductBuildVer">
    <vt:lpwstr>1046-12.1.0.27458</vt:lpwstr>
  </property>
  <property fmtid="{D5CDD505-2E9C-101B-9397-08002B2CF9AE}" pid="4" name="ICV">
    <vt:lpwstr>603637C6169B45DB8A48D11D3ECCA48E_12</vt:lpwstr>
  </property>
</Properties>
</file>