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CEF09" w14:textId="7B691FC8" w:rsidR="00CB18D3" w:rsidRDefault="0074444F">
      <w:pPr>
        <w:keepLines/>
        <w:widowControl w:val="0"/>
        <w:spacing w:line="240" w:lineRule="auto"/>
        <w:jc w:val="center"/>
        <w:rPr>
          <w:sz w:val="24"/>
          <w:szCs w:val="24"/>
        </w:rPr>
      </w:pPr>
      <w:r w:rsidRPr="0074444F">
        <w:rPr>
          <w:b/>
          <w:bCs/>
          <w:sz w:val="24"/>
          <w:szCs w:val="24"/>
        </w:rPr>
        <w:t>CONVERSATÓRIO 15 - GÊNERO, RAÇA E SEXUALIDADE NA EDUCAÇÃO: INTERSECCIONALIDADES, TERRITÓRIOS DE (RE)EXISTÊNCIA E PEDAGOGIAS DESOBEDIENTES</w:t>
      </w:r>
      <w:r w:rsidRPr="0074444F">
        <w:rPr>
          <w:b/>
          <w:bCs/>
          <w:sz w:val="24"/>
          <w:szCs w:val="24"/>
        </w:rPr>
        <w:t xml:space="preserve"> </w:t>
      </w:r>
    </w:p>
    <w:p w14:paraId="669B170A" w14:textId="77777777" w:rsidR="00CB18D3" w:rsidRDefault="00CB18D3">
      <w:pPr>
        <w:keepLines/>
        <w:widowControl w:val="0"/>
        <w:spacing w:line="240" w:lineRule="auto"/>
        <w:rPr>
          <w:b/>
          <w:bCs/>
          <w:sz w:val="24"/>
          <w:szCs w:val="24"/>
        </w:rPr>
      </w:pPr>
    </w:p>
    <w:p w14:paraId="66CFD49D" w14:textId="77777777" w:rsidR="00CB18D3" w:rsidRDefault="00CB18D3">
      <w:pPr>
        <w:keepLines/>
        <w:widowControl w:val="0"/>
        <w:spacing w:line="240" w:lineRule="auto"/>
        <w:rPr>
          <w:b/>
          <w:bCs/>
          <w:sz w:val="24"/>
          <w:szCs w:val="24"/>
        </w:rPr>
      </w:pPr>
    </w:p>
    <w:p w14:paraId="366D07F9" w14:textId="02FE007D" w:rsidR="00CB18D3" w:rsidRDefault="0074444F">
      <w:pPr>
        <w:keepLines/>
        <w:widowControl w:val="0"/>
        <w:spacing w:line="240" w:lineRule="auto"/>
        <w:jc w:val="center"/>
        <w:rPr>
          <w:sz w:val="24"/>
          <w:szCs w:val="24"/>
        </w:rPr>
      </w:pPr>
      <w:r w:rsidRPr="0074444F">
        <w:rPr>
          <w:b/>
          <w:bCs/>
          <w:sz w:val="24"/>
          <w:szCs w:val="24"/>
        </w:rPr>
        <w:t>O impacto do racismo estrutural e os limites da pedagogia decolonial na educação básica: autoimagem e saúde mental de meninas negras</w:t>
      </w:r>
      <w:r w:rsidRPr="0074444F">
        <w:rPr>
          <w:b/>
          <w:bCs/>
          <w:sz w:val="24"/>
          <w:szCs w:val="24"/>
        </w:rPr>
        <w:t xml:space="preserve"> </w:t>
      </w:r>
    </w:p>
    <w:p w14:paraId="0FD7B0F4" w14:textId="77777777" w:rsidR="00CB18D3" w:rsidRDefault="00CB18D3">
      <w:pPr>
        <w:keepLines/>
        <w:widowControl w:val="0"/>
        <w:spacing w:line="240" w:lineRule="auto"/>
        <w:rPr>
          <w:sz w:val="24"/>
          <w:szCs w:val="24"/>
        </w:rPr>
      </w:pPr>
    </w:p>
    <w:p w14:paraId="60AC3DC8" w14:textId="77777777" w:rsidR="00CB18D3" w:rsidRDefault="00CB18D3">
      <w:pPr>
        <w:keepLines/>
        <w:widowControl w:val="0"/>
        <w:spacing w:line="240" w:lineRule="auto"/>
        <w:jc w:val="right"/>
        <w:rPr>
          <w:sz w:val="24"/>
          <w:szCs w:val="24"/>
        </w:rPr>
      </w:pPr>
    </w:p>
    <w:p w14:paraId="4ACB03E3" w14:textId="28FB15BC" w:rsidR="00CB18D3" w:rsidRDefault="0074444F">
      <w:pPr>
        <w:keepLines/>
        <w:widowControl w:val="0"/>
        <w:spacing w:line="240" w:lineRule="auto"/>
        <w:jc w:val="right"/>
        <w:rPr>
          <w:sz w:val="24"/>
          <w:szCs w:val="24"/>
        </w:rPr>
      </w:pPr>
      <w:r w:rsidRPr="0074444F">
        <w:rPr>
          <w:sz w:val="24"/>
          <w:szCs w:val="24"/>
        </w:rPr>
        <w:t>Valéria Gomes dos Santos, Universidade de Brasília (UnB), Programa de Pós-Graduação em Psicologia Clínica e Cultura, valeriapsidf@gmail.com</w:t>
      </w:r>
    </w:p>
    <w:p w14:paraId="0807531B" w14:textId="77777777" w:rsidR="00CB18D3" w:rsidRDefault="00CB18D3">
      <w:pPr>
        <w:keepLines/>
        <w:widowControl w:val="0"/>
        <w:spacing w:line="240" w:lineRule="auto"/>
        <w:rPr>
          <w:sz w:val="24"/>
          <w:szCs w:val="24"/>
        </w:rPr>
      </w:pPr>
    </w:p>
    <w:p w14:paraId="1C0BD8F3" w14:textId="77777777" w:rsidR="00CB18D3" w:rsidRDefault="00CB18D3">
      <w:pPr>
        <w:keepLines/>
        <w:widowControl w:val="0"/>
        <w:spacing w:line="360" w:lineRule="auto"/>
        <w:rPr>
          <w:b/>
          <w:bCs/>
          <w:sz w:val="24"/>
          <w:szCs w:val="24"/>
        </w:rPr>
      </w:pPr>
    </w:p>
    <w:p w14:paraId="0D8EA737" w14:textId="77777777" w:rsidR="00CB18D3" w:rsidRDefault="00000000">
      <w:pPr>
        <w:keepLines/>
        <w:widowControl w:val="0"/>
        <w:spacing w:line="360" w:lineRule="auto"/>
        <w:rPr>
          <w:b/>
          <w:bCs/>
          <w:sz w:val="24"/>
          <w:szCs w:val="24"/>
        </w:rPr>
      </w:pPr>
      <w:r>
        <w:rPr>
          <w:b/>
          <w:bCs/>
          <w:sz w:val="24"/>
          <w:szCs w:val="24"/>
        </w:rPr>
        <w:t>RESUMO</w:t>
      </w:r>
    </w:p>
    <w:p w14:paraId="34B1A0A7" w14:textId="77777777" w:rsidR="00CB18D3" w:rsidRDefault="00CB18D3">
      <w:pPr>
        <w:keepLines/>
        <w:widowControl w:val="0"/>
        <w:spacing w:line="360" w:lineRule="auto"/>
        <w:rPr>
          <w:b/>
          <w:bCs/>
          <w:sz w:val="24"/>
          <w:szCs w:val="24"/>
        </w:rPr>
      </w:pPr>
    </w:p>
    <w:p w14:paraId="4EFE01D2" w14:textId="77777777" w:rsidR="00500C36" w:rsidRPr="00500C36" w:rsidRDefault="00500C36" w:rsidP="00500C36">
      <w:pPr>
        <w:keepLines/>
        <w:widowControl w:val="0"/>
        <w:spacing w:line="360" w:lineRule="auto"/>
        <w:jc w:val="both"/>
        <w:rPr>
          <w:sz w:val="24"/>
          <w:szCs w:val="24"/>
        </w:rPr>
      </w:pPr>
      <w:r w:rsidRPr="00500C36">
        <w:rPr>
          <w:sz w:val="24"/>
          <w:szCs w:val="24"/>
        </w:rPr>
        <w:t>Este trabalho nasce de uma inquietação que me acompanha na clínica, na pesquisa e na vida. Será que o racismo estrutural impacta a autoimagem e a saúde mental de meninas negras na educação básica? E, indo além, será que a pedagogia decolonial consegue reverter ou ao menos atenuar esses efeitos? Não são perguntas retóricas. Elas expõem uma tensão real que aparece nos debates sobre educação, raça e infância no Brasil de hoje.</w:t>
      </w:r>
    </w:p>
    <w:p w14:paraId="0198B739" w14:textId="77777777" w:rsidR="00500C36" w:rsidRPr="00500C36" w:rsidRDefault="00500C36" w:rsidP="00500C36">
      <w:pPr>
        <w:keepLines/>
        <w:widowControl w:val="0"/>
        <w:spacing w:line="360" w:lineRule="auto"/>
        <w:jc w:val="both"/>
        <w:rPr>
          <w:sz w:val="24"/>
          <w:szCs w:val="24"/>
        </w:rPr>
      </w:pPr>
      <w:r w:rsidRPr="00500C36">
        <w:rPr>
          <w:sz w:val="24"/>
          <w:szCs w:val="24"/>
        </w:rPr>
        <w:t>Reconheço a força das pedagogias decoloniais como ferramentas de resistência, mas também me pergunto se elas, sozinhas, podem enfrentar o que Sueli Carneiro chama de dispositivo de racialidade. Para a autora, esse dispositivo é uma tecnologia de poder que fabrica o Outro como não ser, operando no campo do não dito, moldando relações sociais, discursos e práticas, e dificultando a mobilidade coletiva da população negra (CARNEIRO, 2023).</w:t>
      </w:r>
    </w:p>
    <w:p w14:paraId="5AB9C8B1" w14:textId="77777777" w:rsidR="00500C36" w:rsidRPr="00500C36" w:rsidRDefault="00500C36" w:rsidP="00500C36">
      <w:pPr>
        <w:keepLines/>
        <w:widowControl w:val="0"/>
        <w:spacing w:line="360" w:lineRule="auto"/>
        <w:jc w:val="both"/>
        <w:rPr>
          <w:sz w:val="24"/>
          <w:szCs w:val="24"/>
        </w:rPr>
      </w:pPr>
      <w:r w:rsidRPr="00500C36">
        <w:rPr>
          <w:sz w:val="24"/>
          <w:szCs w:val="24"/>
        </w:rPr>
        <w:t>Os números são expressivos, mas não contam tudo. O IBGE (2022) mostra uma diferença de cerca de 44% no rendimento médio entre mulheres brancas e negras. O Atlas da Violência (IPEA/FBSP, 2023) revela que 66% das mulheres assassinadas no Brasil são negras. O que esses dados não dizem é o que significa ser uma menina negra aprendendo a existir num mundo que, antes mesmo de ela falar, já lhe reservou um lugar de menoridade.</w:t>
      </w:r>
    </w:p>
    <w:p w14:paraId="245516FB" w14:textId="54C6C04B" w:rsidR="00500C36" w:rsidRPr="00500C36" w:rsidRDefault="00500C36" w:rsidP="00500C36">
      <w:pPr>
        <w:keepLines/>
        <w:widowControl w:val="0"/>
        <w:spacing w:line="360" w:lineRule="auto"/>
        <w:jc w:val="both"/>
        <w:rPr>
          <w:sz w:val="24"/>
          <w:szCs w:val="24"/>
        </w:rPr>
      </w:pPr>
      <w:r w:rsidRPr="00500C36">
        <w:rPr>
          <w:sz w:val="24"/>
          <w:szCs w:val="24"/>
        </w:rPr>
        <w:lastRenderedPageBreak/>
        <w:t xml:space="preserve">É aqui que a fenomenologia e os escritos de Frantz Fanon se tornam imprescindíveis. Em Pele negra, máscaras brancas (FANON, 2008 [1952]), o autor mostra que o corpo negro não é vivido como extensão natural do ser, mas como um corpo que já chega ao mundo carregado de sentidos impostos de fora. Ele descreve o momento em que o corpo é esmagado por um esquema histórico-racial, uma grade de leitura que </w:t>
      </w:r>
      <w:proofErr w:type="spellStart"/>
      <w:r w:rsidRPr="00500C36">
        <w:rPr>
          <w:sz w:val="24"/>
          <w:szCs w:val="24"/>
        </w:rPr>
        <w:t>pré-existe</w:t>
      </w:r>
      <w:proofErr w:type="spellEnd"/>
      <w:r w:rsidRPr="00500C36">
        <w:rPr>
          <w:sz w:val="24"/>
          <w:szCs w:val="24"/>
        </w:rPr>
        <w:t xml:space="preserve"> ao sujeito e o reduz a uma imagem fixa, inferiorizada e estrangeira de si mesmo. Esse processo de internalização do olhar do outro </w:t>
      </w:r>
      <w:r>
        <w:rPr>
          <w:sz w:val="24"/>
          <w:szCs w:val="24"/>
        </w:rPr>
        <w:t>se apresenta</w:t>
      </w:r>
      <w:r w:rsidRPr="00500C36">
        <w:rPr>
          <w:sz w:val="24"/>
          <w:szCs w:val="24"/>
        </w:rPr>
        <w:t xml:space="preserve"> nas pesquisas contemporâneas de Jennifer Eberhardt (2019), que demonstra como o viés racial implícito opera sem que tenhamos consciência, afetando a percepção, a memória e o comportamento</w:t>
      </w:r>
      <w:r>
        <w:rPr>
          <w:sz w:val="24"/>
          <w:szCs w:val="24"/>
        </w:rPr>
        <w:t>,</w:t>
      </w:r>
      <w:r w:rsidRPr="00500C36">
        <w:rPr>
          <w:sz w:val="24"/>
          <w:szCs w:val="24"/>
        </w:rPr>
        <w:t xml:space="preserve"> inclusive na forma como professores avaliam alunos. A menina negra, nesse processo, não apenas constata que é diferente, mas sente no corpo o peso de ser olhada como o Outro, como aquela que não pertence ao ideal de humanidade que a sociedade exibe. A alteridade, aqui, não é acolhida como diferença, mas como falta. É vivida como um estranhamento em relação ao próprio ser, como se o olhar do outro a devolvesse a si mesma diminuída.</w:t>
      </w:r>
    </w:p>
    <w:p w14:paraId="6F5F509B" w14:textId="77777777" w:rsidR="00500C36" w:rsidRPr="00500C36" w:rsidRDefault="00500C36" w:rsidP="00500C36">
      <w:pPr>
        <w:keepLines/>
        <w:widowControl w:val="0"/>
        <w:spacing w:line="360" w:lineRule="auto"/>
        <w:jc w:val="both"/>
        <w:rPr>
          <w:sz w:val="24"/>
          <w:szCs w:val="24"/>
        </w:rPr>
      </w:pPr>
      <w:r w:rsidRPr="00500C36">
        <w:rPr>
          <w:sz w:val="24"/>
          <w:szCs w:val="24"/>
        </w:rPr>
        <w:t>Essa experiência não é acidental. Ela é estrutural, como nos ensina Silvio Almeida (2019), e também se manifesta no que a psicóloga Jennifer Eberhardt (2019) chama de viés racial implícito: um fenômeno que opera sem que tenhamos consciência, presente em todos os níveis da sociedade, e que afeta a forma como professores avaliam estudantes, como policiais agem e como a justiça é aplicada. O racismo não é um desvio ou um preconceito individual, mas uma forma sistemática de discriminação que tem a raça por fundamento e que integra a organização econômica e política da sociedade. Ele não se reduz a atos explícitos de violência, mas se inscreve nas relações cotidianas, nas práticas pedagógicas e nos currículos escolares. A menina negra não nasce com baixa autoestima; ela aprende a duvidar de si porque o mundo insiste em lhe dizer que ela não cabe nos padrões que valem.</w:t>
      </w:r>
    </w:p>
    <w:p w14:paraId="36A437B4" w14:textId="77777777" w:rsidR="00500C36" w:rsidRPr="00500C36" w:rsidRDefault="00500C36" w:rsidP="00500C36">
      <w:pPr>
        <w:keepLines/>
        <w:widowControl w:val="0"/>
        <w:spacing w:line="360" w:lineRule="auto"/>
        <w:jc w:val="both"/>
        <w:rPr>
          <w:sz w:val="24"/>
          <w:szCs w:val="24"/>
        </w:rPr>
      </w:pPr>
      <w:r w:rsidRPr="00500C36">
        <w:rPr>
          <w:sz w:val="24"/>
          <w:szCs w:val="24"/>
        </w:rPr>
        <w:lastRenderedPageBreak/>
        <w:t>A pergunta que move este trabalho, portanto, não é apenas sobre o que o racismo faz, mas sobre o que ele desfaz na subjetividade de uma menina negra. O cuidado de si, como propõem Neusa Santos Souza (2021) e Sueli Carneiro (2023), é uma categoria central. Para Souza (2021), "tornar-se negro" não é uma condição dada, mas um vir a ser que exige tomar consciência do processo ideológico que aprisiona o sujeito negro em uma imagem alienada. Em uma sociedade cujo referencial de beleza e realização é a brancura, o desejo de assemelhar-se ao branco para ser respeitado impõe um alto custo emocional: a experiência de sujeição e negação da própria identidade. O cuidado de si, nessa perspectiva, não pode virar responsabilidade individual, sob risco de culpabilizar as meninas pelo próprio sofrimento.</w:t>
      </w:r>
    </w:p>
    <w:p w14:paraId="54F9D5B9" w14:textId="77777777" w:rsidR="00500C36" w:rsidRPr="00500C36" w:rsidRDefault="00500C36" w:rsidP="00500C36">
      <w:pPr>
        <w:keepLines/>
        <w:widowControl w:val="0"/>
        <w:spacing w:line="360" w:lineRule="auto"/>
        <w:jc w:val="both"/>
        <w:rPr>
          <w:sz w:val="24"/>
          <w:szCs w:val="24"/>
        </w:rPr>
      </w:pPr>
      <w:r w:rsidRPr="00500C36">
        <w:rPr>
          <w:sz w:val="24"/>
          <w:szCs w:val="24"/>
        </w:rPr>
        <w:t>Diante disso, fica a provocação: será que a pedagogia decolonial, por mais potente que seja, consegue reverter esse processo? Para Catherine Walsh (2012, 2013), as pedagogias decoloniais não configuram um novo campo de estudo, mas são construídas por meio das lutas como necessidade epistêmica de ruptura e transgressão com o paradigma da marginalização e da exclusão. Elas se fazem no corpo, no território, na memória coletiva e na escuta ativa dos saberes subalternizados. A decolonialidade não é teoria, mas projeto prático, coletivo e subjetivo de transformação. A pergunta que fica é se essa aposta, sozinha, é suficiente diante de um racismo que é constitutivo da ordem social, como alerta Almeida (2019). Talvez a resposta esteja em algum lugar entre o dano já produzido e a aposta coletiva em outras formas de educar, cuidar e existir</w:t>
      </w:r>
    </w:p>
    <w:p w14:paraId="5406317D" w14:textId="77777777" w:rsidR="00CB18D3" w:rsidRDefault="00CB18D3">
      <w:pPr>
        <w:keepLines/>
        <w:widowControl w:val="0"/>
        <w:spacing w:line="360" w:lineRule="auto"/>
        <w:jc w:val="both"/>
        <w:rPr>
          <w:sz w:val="24"/>
          <w:szCs w:val="24"/>
        </w:rPr>
      </w:pPr>
    </w:p>
    <w:p w14:paraId="0CA57CC7" w14:textId="77777777" w:rsidR="00CB18D3" w:rsidRDefault="00000000">
      <w:pPr>
        <w:keepLines/>
        <w:widowControl w:val="0"/>
        <w:spacing w:line="360" w:lineRule="auto"/>
        <w:jc w:val="both"/>
        <w:rPr>
          <w:b/>
          <w:bCs/>
          <w:sz w:val="24"/>
          <w:szCs w:val="24"/>
        </w:rPr>
      </w:pPr>
      <w:r>
        <w:rPr>
          <w:b/>
          <w:bCs/>
          <w:sz w:val="24"/>
          <w:szCs w:val="24"/>
        </w:rPr>
        <w:t>PALAVRAS-CHAVE</w:t>
      </w:r>
    </w:p>
    <w:p w14:paraId="68565E6B" w14:textId="0C964776" w:rsidR="00CB18D3" w:rsidRDefault="0074444F" w:rsidP="0074444F">
      <w:pPr>
        <w:keepLines/>
        <w:widowControl w:val="0"/>
        <w:spacing w:line="360" w:lineRule="auto"/>
        <w:jc w:val="both"/>
        <w:rPr>
          <w:sz w:val="24"/>
          <w:szCs w:val="24"/>
        </w:rPr>
      </w:pPr>
      <w:r w:rsidRPr="0074444F">
        <w:rPr>
          <w:sz w:val="24"/>
          <w:szCs w:val="24"/>
        </w:rPr>
        <w:t>Racismo estrutural; Meninas negras; Autoimagem; Saúde mental; Pedagogia decolonial; Educação básica; Interseccionalidade.</w:t>
      </w:r>
    </w:p>
    <w:p w14:paraId="54710EA1" w14:textId="77777777" w:rsidR="00CB18D3" w:rsidRDefault="00CB18D3">
      <w:pPr>
        <w:keepLines/>
        <w:widowControl w:val="0"/>
        <w:spacing w:line="240" w:lineRule="auto"/>
        <w:rPr>
          <w:b/>
          <w:bCs/>
          <w:sz w:val="24"/>
          <w:szCs w:val="24"/>
        </w:rPr>
      </w:pPr>
    </w:p>
    <w:p w14:paraId="104B1593" w14:textId="77777777" w:rsidR="00CB18D3" w:rsidRDefault="00000000">
      <w:pPr>
        <w:keepLines/>
        <w:widowControl w:val="0"/>
        <w:spacing w:line="240" w:lineRule="auto"/>
        <w:rPr>
          <w:sz w:val="24"/>
          <w:szCs w:val="24"/>
        </w:rPr>
      </w:pPr>
      <w:r>
        <w:rPr>
          <w:b/>
          <w:bCs/>
          <w:sz w:val="24"/>
          <w:szCs w:val="24"/>
        </w:rPr>
        <w:t>REFERÊNCIAS</w:t>
      </w:r>
      <w:r>
        <w:rPr>
          <w:sz w:val="24"/>
          <w:szCs w:val="24"/>
        </w:rPr>
        <w:t xml:space="preserve"> </w:t>
      </w:r>
    </w:p>
    <w:p w14:paraId="15688E97" w14:textId="77777777" w:rsidR="0074444F" w:rsidRDefault="0074444F" w:rsidP="0074444F">
      <w:pPr>
        <w:rPr>
          <w:sz w:val="24"/>
          <w:szCs w:val="24"/>
        </w:rPr>
      </w:pPr>
    </w:p>
    <w:p w14:paraId="6751108D"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ALMEIDA, Silvio.</w:t>
      </w:r>
      <w:r w:rsidRPr="00EB1829">
        <w:rPr>
          <w:rStyle w:val="apple-converted-space"/>
          <w:rFonts w:ascii="Arial" w:hAnsi="Arial" w:cs="Arial"/>
          <w:color w:val="0F1115"/>
        </w:rPr>
        <w:t> </w:t>
      </w:r>
      <w:r w:rsidRPr="00EB1829">
        <w:rPr>
          <w:rStyle w:val="Forte"/>
          <w:rFonts w:ascii="Arial" w:hAnsi="Arial" w:cs="Arial"/>
          <w:color w:val="0F1115"/>
        </w:rPr>
        <w:t>Racismo Estrutural</w:t>
      </w:r>
      <w:r w:rsidRPr="00EB1829">
        <w:rPr>
          <w:rFonts w:ascii="Arial" w:hAnsi="Arial" w:cs="Arial"/>
          <w:color w:val="0F1115"/>
        </w:rPr>
        <w:t>. São Paulo: Jandaíra, 2019.</w:t>
      </w:r>
    </w:p>
    <w:p w14:paraId="2BF4DA80"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BENTO, Cida.</w:t>
      </w:r>
      <w:r w:rsidRPr="00EB1829">
        <w:rPr>
          <w:rStyle w:val="apple-converted-space"/>
          <w:rFonts w:ascii="Arial" w:hAnsi="Arial" w:cs="Arial"/>
          <w:color w:val="0F1115"/>
        </w:rPr>
        <w:t> </w:t>
      </w:r>
      <w:r w:rsidRPr="00EB1829">
        <w:rPr>
          <w:rStyle w:val="Forte"/>
          <w:rFonts w:ascii="Arial" w:hAnsi="Arial" w:cs="Arial"/>
          <w:color w:val="0F1115"/>
        </w:rPr>
        <w:t>O pacto da branquitude</w:t>
      </w:r>
      <w:r w:rsidRPr="00EB1829">
        <w:rPr>
          <w:rFonts w:ascii="Arial" w:hAnsi="Arial" w:cs="Arial"/>
          <w:color w:val="0F1115"/>
        </w:rPr>
        <w:t>. São Paulo: Companhia das Letras, 2022.</w:t>
      </w:r>
    </w:p>
    <w:p w14:paraId="6B6F1BD7"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CARNEIRO, Sueli.</w:t>
      </w:r>
      <w:r w:rsidRPr="00EB1829">
        <w:rPr>
          <w:rStyle w:val="apple-converted-space"/>
          <w:rFonts w:ascii="Arial" w:hAnsi="Arial" w:cs="Arial"/>
          <w:color w:val="0F1115"/>
        </w:rPr>
        <w:t> </w:t>
      </w:r>
      <w:r w:rsidRPr="00EB1829">
        <w:rPr>
          <w:rStyle w:val="Forte"/>
          <w:rFonts w:ascii="Arial" w:hAnsi="Arial" w:cs="Arial"/>
          <w:color w:val="0F1115"/>
        </w:rPr>
        <w:t>Dispositivo de racialidade: a construção do outro como não ser como fundamento do ser</w:t>
      </w:r>
      <w:r w:rsidRPr="00EB1829">
        <w:rPr>
          <w:rFonts w:ascii="Arial" w:hAnsi="Arial" w:cs="Arial"/>
          <w:color w:val="0F1115"/>
        </w:rPr>
        <w:t>. Rio de Janeiro: Zahar, 2023.</w:t>
      </w:r>
    </w:p>
    <w:p w14:paraId="208C01EA"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lastRenderedPageBreak/>
        <w:t xml:space="preserve">CRENSHAW, </w:t>
      </w:r>
      <w:proofErr w:type="spellStart"/>
      <w:r w:rsidRPr="00EB1829">
        <w:rPr>
          <w:rFonts w:ascii="Arial" w:hAnsi="Arial" w:cs="Arial"/>
          <w:color w:val="0F1115"/>
        </w:rPr>
        <w:t>Kimberlé</w:t>
      </w:r>
      <w:proofErr w:type="spellEnd"/>
      <w:r w:rsidRPr="00EB1829">
        <w:rPr>
          <w:rFonts w:ascii="Arial" w:hAnsi="Arial" w:cs="Arial"/>
          <w:color w:val="0F1115"/>
        </w:rPr>
        <w:t xml:space="preserve">. </w:t>
      </w:r>
      <w:proofErr w:type="spellStart"/>
      <w:r w:rsidRPr="00EB1829">
        <w:rPr>
          <w:rFonts w:ascii="Arial" w:hAnsi="Arial" w:cs="Arial"/>
          <w:color w:val="0F1115"/>
        </w:rPr>
        <w:t>Demarginalizing</w:t>
      </w:r>
      <w:proofErr w:type="spellEnd"/>
      <w:r w:rsidRPr="00EB1829">
        <w:rPr>
          <w:rFonts w:ascii="Arial" w:hAnsi="Arial" w:cs="Arial"/>
          <w:color w:val="0F1115"/>
        </w:rPr>
        <w:t xml:space="preserve"> </w:t>
      </w:r>
      <w:proofErr w:type="spellStart"/>
      <w:r w:rsidRPr="00EB1829">
        <w:rPr>
          <w:rFonts w:ascii="Arial" w:hAnsi="Arial" w:cs="Arial"/>
          <w:color w:val="0F1115"/>
        </w:rPr>
        <w:t>the</w:t>
      </w:r>
      <w:proofErr w:type="spellEnd"/>
      <w:r w:rsidRPr="00EB1829">
        <w:rPr>
          <w:rFonts w:ascii="Arial" w:hAnsi="Arial" w:cs="Arial"/>
          <w:color w:val="0F1115"/>
        </w:rPr>
        <w:t xml:space="preserve"> </w:t>
      </w:r>
      <w:proofErr w:type="spellStart"/>
      <w:r w:rsidRPr="00EB1829">
        <w:rPr>
          <w:rFonts w:ascii="Arial" w:hAnsi="Arial" w:cs="Arial"/>
          <w:color w:val="0F1115"/>
        </w:rPr>
        <w:t>Intersection</w:t>
      </w:r>
      <w:proofErr w:type="spellEnd"/>
      <w:r w:rsidRPr="00EB1829">
        <w:rPr>
          <w:rFonts w:ascii="Arial" w:hAnsi="Arial" w:cs="Arial"/>
          <w:color w:val="0F1115"/>
        </w:rPr>
        <w:t xml:space="preserve"> </w:t>
      </w:r>
      <w:proofErr w:type="spellStart"/>
      <w:r w:rsidRPr="00EB1829">
        <w:rPr>
          <w:rFonts w:ascii="Arial" w:hAnsi="Arial" w:cs="Arial"/>
          <w:color w:val="0F1115"/>
        </w:rPr>
        <w:t>of</w:t>
      </w:r>
      <w:proofErr w:type="spellEnd"/>
      <w:r w:rsidRPr="00EB1829">
        <w:rPr>
          <w:rFonts w:ascii="Arial" w:hAnsi="Arial" w:cs="Arial"/>
          <w:color w:val="0F1115"/>
        </w:rPr>
        <w:t xml:space="preserve"> </w:t>
      </w:r>
      <w:proofErr w:type="spellStart"/>
      <w:r w:rsidRPr="00EB1829">
        <w:rPr>
          <w:rFonts w:ascii="Arial" w:hAnsi="Arial" w:cs="Arial"/>
          <w:color w:val="0F1115"/>
        </w:rPr>
        <w:t>Race</w:t>
      </w:r>
      <w:proofErr w:type="spellEnd"/>
      <w:r w:rsidRPr="00EB1829">
        <w:rPr>
          <w:rFonts w:ascii="Arial" w:hAnsi="Arial" w:cs="Arial"/>
          <w:color w:val="0F1115"/>
        </w:rPr>
        <w:t xml:space="preserve"> </w:t>
      </w:r>
      <w:proofErr w:type="spellStart"/>
      <w:r w:rsidRPr="00EB1829">
        <w:rPr>
          <w:rFonts w:ascii="Arial" w:hAnsi="Arial" w:cs="Arial"/>
          <w:color w:val="0F1115"/>
        </w:rPr>
        <w:t>and</w:t>
      </w:r>
      <w:proofErr w:type="spellEnd"/>
      <w:r w:rsidRPr="00EB1829">
        <w:rPr>
          <w:rFonts w:ascii="Arial" w:hAnsi="Arial" w:cs="Arial"/>
          <w:color w:val="0F1115"/>
        </w:rPr>
        <w:t xml:space="preserve"> Sex: A Black </w:t>
      </w:r>
      <w:proofErr w:type="spellStart"/>
      <w:r w:rsidRPr="00EB1829">
        <w:rPr>
          <w:rFonts w:ascii="Arial" w:hAnsi="Arial" w:cs="Arial"/>
          <w:color w:val="0F1115"/>
        </w:rPr>
        <w:t>Feminist</w:t>
      </w:r>
      <w:proofErr w:type="spellEnd"/>
      <w:r w:rsidRPr="00EB1829">
        <w:rPr>
          <w:rFonts w:ascii="Arial" w:hAnsi="Arial" w:cs="Arial"/>
          <w:color w:val="0F1115"/>
        </w:rPr>
        <w:t xml:space="preserve"> Critique </w:t>
      </w:r>
      <w:proofErr w:type="spellStart"/>
      <w:r w:rsidRPr="00EB1829">
        <w:rPr>
          <w:rFonts w:ascii="Arial" w:hAnsi="Arial" w:cs="Arial"/>
          <w:color w:val="0F1115"/>
        </w:rPr>
        <w:t>of</w:t>
      </w:r>
      <w:proofErr w:type="spellEnd"/>
      <w:r w:rsidRPr="00EB1829">
        <w:rPr>
          <w:rFonts w:ascii="Arial" w:hAnsi="Arial" w:cs="Arial"/>
          <w:color w:val="0F1115"/>
        </w:rPr>
        <w:t xml:space="preserve"> </w:t>
      </w:r>
      <w:proofErr w:type="spellStart"/>
      <w:r w:rsidRPr="00EB1829">
        <w:rPr>
          <w:rFonts w:ascii="Arial" w:hAnsi="Arial" w:cs="Arial"/>
          <w:color w:val="0F1115"/>
        </w:rPr>
        <w:t>Antidiscrimination</w:t>
      </w:r>
      <w:proofErr w:type="spellEnd"/>
      <w:r w:rsidRPr="00EB1829">
        <w:rPr>
          <w:rFonts w:ascii="Arial" w:hAnsi="Arial" w:cs="Arial"/>
          <w:color w:val="0F1115"/>
        </w:rPr>
        <w:t xml:space="preserve"> </w:t>
      </w:r>
      <w:proofErr w:type="spellStart"/>
      <w:r w:rsidRPr="00EB1829">
        <w:rPr>
          <w:rFonts w:ascii="Arial" w:hAnsi="Arial" w:cs="Arial"/>
          <w:color w:val="0F1115"/>
        </w:rPr>
        <w:t>Doctrine</w:t>
      </w:r>
      <w:proofErr w:type="spellEnd"/>
      <w:r w:rsidRPr="00EB1829">
        <w:rPr>
          <w:rFonts w:ascii="Arial" w:hAnsi="Arial" w:cs="Arial"/>
          <w:color w:val="0F1115"/>
        </w:rPr>
        <w:t xml:space="preserve">, </w:t>
      </w:r>
      <w:proofErr w:type="spellStart"/>
      <w:r w:rsidRPr="00EB1829">
        <w:rPr>
          <w:rFonts w:ascii="Arial" w:hAnsi="Arial" w:cs="Arial"/>
          <w:color w:val="0F1115"/>
        </w:rPr>
        <w:t>Feminist</w:t>
      </w:r>
      <w:proofErr w:type="spellEnd"/>
      <w:r w:rsidRPr="00EB1829">
        <w:rPr>
          <w:rFonts w:ascii="Arial" w:hAnsi="Arial" w:cs="Arial"/>
          <w:color w:val="0F1115"/>
        </w:rPr>
        <w:t xml:space="preserve"> </w:t>
      </w:r>
      <w:proofErr w:type="spellStart"/>
      <w:r w:rsidRPr="00EB1829">
        <w:rPr>
          <w:rFonts w:ascii="Arial" w:hAnsi="Arial" w:cs="Arial"/>
          <w:color w:val="0F1115"/>
        </w:rPr>
        <w:t>Theory</w:t>
      </w:r>
      <w:proofErr w:type="spellEnd"/>
      <w:r w:rsidRPr="00EB1829">
        <w:rPr>
          <w:rFonts w:ascii="Arial" w:hAnsi="Arial" w:cs="Arial"/>
          <w:color w:val="0F1115"/>
        </w:rPr>
        <w:t xml:space="preserve"> </w:t>
      </w:r>
      <w:proofErr w:type="spellStart"/>
      <w:r w:rsidRPr="00EB1829">
        <w:rPr>
          <w:rFonts w:ascii="Arial" w:hAnsi="Arial" w:cs="Arial"/>
          <w:color w:val="0F1115"/>
        </w:rPr>
        <w:t>and</w:t>
      </w:r>
      <w:proofErr w:type="spellEnd"/>
      <w:r w:rsidRPr="00EB1829">
        <w:rPr>
          <w:rFonts w:ascii="Arial" w:hAnsi="Arial" w:cs="Arial"/>
          <w:color w:val="0F1115"/>
        </w:rPr>
        <w:t xml:space="preserve"> </w:t>
      </w:r>
      <w:proofErr w:type="spellStart"/>
      <w:r w:rsidRPr="00EB1829">
        <w:rPr>
          <w:rFonts w:ascii="Arial" w:hAnsi="Arial" w:cs="Arial"/>
          <w:color w:val="0F1115"/>
        </w:rPr>
        <w:t>Antiracist</w:t>
      </w:r>
      <w:proofErr w:type="spellEnd"/>
      <w:r w:rsidRPr="00EB1829">
        <w:rPr>
          <w:rFonts w:ascii="Arial" w:hAnsi="Arial" w:cs="Arial"/>
          <w:color w:val="0F1115"/>
        </w:rPr>
        <w:t xml:space="preserve"> Politics.</w:t>
      </w:r>
      <w:r w:rsidRPr="00EB1829">
        <w:rPr>
          <w:rStyle w:val="apple-converted-space"/>
          <w:rFonts w:ascii="Arial" w:hAnsi="Arial" w:cs="Arial"/>
          <w:color w:val="0F1115"/>
        </w:rPr>
        <w:t> </w:t>
      </w:r>
      <w:proofErr w:type="spellStart"/>
      <w:r w:rsidRPr="00EB1829">
        <w:rPr>
          <w:rStyle w:val="Forte"/>
          <w:rFonts w:ascii="Arial" w:hAnsi="Arial" w:cs="Arial"/>
          <w:color w:val="0F1115"/>
        </w:rPr>
        <w:t>University</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of</w:t>
      </w:r>
      <w:proofErr w:type="spellEnd"/>
      <w:r w:rsidRPr="00EB1829">
        <w:rPr>
          <w:rStyle w:val="Forte"/>
          <w:rFonts w:ascii="Arial" w:hAnsi="Arial" w:cs="Arial"/>
          <w:color w:val="0F1115"/>
        </w:rPr>
        <w:t xml:space="preserve"> Chicago Legal </w:t>
      </w:r>
      <w:proofErr w:type="spellStart"/>
      <w:r w:rsidRPr="00EB1829">
        <w:rPr>
          <w:rStyle w:val="Forte"/>
          <w:rFonts w:ascii="Arial" w:hAnsi="Arial" w:cs="Arial"/>
          <w:color w:val="0F1115"/>
        </w:rPr>
        <w:t>Forum</w:t>
      </w:r>
      <w:proofErr w:type="spellEnd"/>
      <w:r w:rsidRPr="00EB1829">
        <w:rPr>
          <w:rFonts w:ascii="Arial" w:hAnsi="Arial" w:cs="Arial"/>
          <w:color w:val="0F1115"/>
        </w:rPr>
        <w:t>, v. 1989, n. 1, p. 139-167, 1989.</w:t>
      </w:r>
    </w:p>
    <w:p w14:paraId="36323CC2"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 xml:space="preserve">DAVIS, </w:t>
      </w:r>
      <w:proofErr w:type="spellStart"/>
      <w:r w:rsidRPr="00EB1829">
        <w:rPr>
          <w:rFonts w:ascii="Arial" w:hAnsi="Arial" w:cs="Arial"/>
          <w:color w:val="0F1115"/>
        </w:rPr>
        <w:t>Angela</w:t>
      </w:r>
      <w:proofErr w:type="spellEnd"/>
      <w:r w:rsidRPr="00EB1829">
        <w:rPr>
          <w:rFonts w:ascii="Arial" w:hAnsi="Arial" w:cs="Arial"/>
          <w:color w:val="0F1115"/>
        </w:rPr>
        <w:t>.</w:t>
      </w:r>
      <w:r w:rsidRPr="00EB1829">
        <w:rPr>
          <w:rStyle w:val="apple-converted-space"/>
          <w:rFonts w:ascii="Arial" w:hAnsi="Arial" w:cs="Arial"/>
          <w:color w:val="0F1115"/>
        </w:rPr>
        <w:t> </w:t>
      </w:r>
      <w:r w:rsidRPr="00EB1829">
        <w:rPr>
          <w:rStyle w:val="Forte"/>
          <w:rFonts w:ascii="Arial" w:hAnsi="Arial" w:cs="Arial"/>
          <w:color w:val="0F1115"/>
        </w:rPr>
        <w:t>Mulheres, raça e classe</w:t>
      </w:r>
      <w:r w:rsidRPr="00EB1829">
        <w:rPr>
          <w:rFonts w:ascii="Arial" w:hAnsi="Arial" w:cs="Arial"/>
          <w:color w:val="0F1115"/>
        </w:rPr>
        <w:t>. São Paulo: Boitempo, 2016.</w:t>
      </w:r>
    </w:p>
    <w:p w14:paraId="4051B4A5"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EBERHARDT, Jennifer L.</w:t>
      </w:r>
      <w:r w:rsidRPr="00EB1829">
        <w:rPr>
          <w:rStyle w:val="apple-converted-space"/>
          <w:rFonts w:ascii="Arial" w:hAnsi="Arial" w:cs="Arial"/>
          <w:color w:val="0F1115"/>
        </w:rPr>
        <w:t> </w:t>
      </w:r>
      <w:proofErr w:type="spellStart"/>
      <w:r w:rsidRPr="00EB1829">
        <w:rPr>
          <w:rStyle w:val="Forte"/>
          <w:rFonts w:ascii="Arial" w:hAnsi="Arial" w:cs="Arial"/>
          <w:color w:val="0F1115"/>
        </w:rPr>
        <w:t>Biased</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uncovering</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the</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hidden</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prejudice</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that</w:t>
      </w:r>
      <w:proofErr w:type="spellEnd"/>
      <w:r w:rsidRPr="00EB1829">
        <w:rPr>
          <w:rStyle w:val="Forte"/>
          <w:rFonts w:ascii="Arial" w:hAnsi="Arial" w:cs="Arial"/>
          <w:color w:val="0F1115"/>
        </w:rPr>
        <w:t xml:space="preserve"> shapes </w:t>
      </w:r>
      <w:proofErr w:type="spellStart"/>
      <w:r w:rsidRPr="00EB1829">
        <w:rPr>
          <w:rStyle w:val="Forte"/>
          <w:rFonts w:ascii="Arial" w:hAnsi="Arial" w:cs="Arial"/>
          <w:color w:val="0F1115"/>
        </w:rPr>
        <w:t>what</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we</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see</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think</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and</w:t>
      </w:r>
      <w:proofErr w:type="spellEnd"/>
      <w:r w:rsidRPr="00EB1829">
        <w:rPr>
          <w:rStyle w:val="Forte"/>
          <w:rFonts w:ascii="Arial" w:hAnsi="Arial" w:cs="Arial"/>
          <w:color w:val="0F1115"/>
        </w:rPr>
        <w:t xml:space="preserve"> do</w:t>
      </w:r>
      <w:r w:rsidRPr="00EB1829">
        <w:rPr>
          <w:rFonts w:ascii="Arial" w:hAnsi="Arial" w:cs="Arial"/>
          <w:color w:val="0F1115"/>
        </w:rPr>
        <w:t>. New York: Viking, 2019.</w:t>
      </w:r>
    </w:p>
    <w:p w14:paraId="198BF370"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FANON, Frantz.</w:t>
      </w:r>
      <w:r w:rsidRPr="00EB1829">
        <w:rPr>
          <w:rStyle w:val="apple-converted-space"/>
          <w:rFonts w:ascii="Arial" w:hAnsi="Arial" w:cs="Arial"/>
          <w:color w:val="0F1115"/>
        </w:rPr>
        <w:t> </w:t>
      </w:r>
      <w:r w:rsidRPr="00EB1829">
        <w:rPr>
          <w:rStyle w:val="Forte"/>
          <w:rFonts w:ascii="Arial" w:hAnsi="Arial" w:cs="Arial"/>
          <w:color w:val="0F1115"/>
        </w:rPr>
        <w:t>Pele negra, máscaras brancas</w:t>
      </w:r>
      <w:r w:rsidRPr="00EB1829">
        <w:rPr>
          <w:rFonts w:ascii="Arial" w:hAnsi="Arial" w:cs="Arial"/>
          <w:color w:val="0F1115"/>
        </w:rPr>
        <w:t>. Tradução de Renato da Silveira. Salvador: EDUFBA, 2008 [1952].</w:t>
      </w:r>
    </w:p>
    <w:p w14:paraId="2906CCD5"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GOMES, Nilma Lino.</w:t>
      </w:r>
      <w:r w:rsidRPr="00EB1829">
        <w:rPr>
          <w:rStyle w:val="apple-converted-space"/>
          <w:rFonts w:ascii="Arial" w:hAnsi="Arial" w:cs="Arial"/>
          <w:color w:val="0F1115"/>
        </w:rPr>
        <w:t> </w:t>
      </w:r>
      <w:r w:rsidRPr="00EB1829">
        <w:rPr>
          <w:rStyle w:val="Forte"/>
          <w:rFonts w:ascii="Arial" w:hAnsi="Arial" w:cs="Arial"/>
          <w:color w:val="0F1115"/>
        </w:rPr>
        <w:t>Educação e relações étnico-raciais: reflexões e perspectivas</w:t>
      </w:r>
      <w:r w:rsidRPr="00EB1829">
        <w:rPr>
          <w:rFonts w:ascii="Arial" w:hAnsi="Arial" w:cs="Arial"/>
          <w:color w:val="0F1115"/>
        </w:rPr>
        <w:t>. Belo Horizonte: Autêntica, 2018.</w:t>
      </w:r>
    </w:p>
    <w:p w14:paraId="04ECC340"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GONZALEZ, Lélia. Racismo e sexismo na cultura brasileira.</w:t>
      </w:r>
      <w:r w:rsidRPr="00EB1829">
        <w:rPr>
          <w:rStyle w:val="apple-converted-space"/>
          <w:rFonts w:ascii="Arial" w:hAnsi="Arial" w:cs="Arial"/>
          <w:color w:val="0F1115"/>
        </w:rPr>
        <w:t> </w:t>
      </w:r>
      <w:r w:rsidRPr="00EB1829">
        <w:rPr>
          <w:rStyle w:val="Forte"/>
          <w:rFonts w:ascii="Arial" w:hAnsi="Arial" w:cs="Arial"/>
          <w:color w:val="0F1115"/>
        </w:rPr>
        <w:t>Revista Ciências Sociais Hoje</w:t>
      </w:r>
      <w:r w:rsidRPr="00EB1829">
        <w:rPr>
          <w:rFonts w:ascii="Arial" w:hAnsi="Arial" w:cs="Arial"/>
          <w:color w:val="0F1115"/>
        </w:rPr>
        <w:t>, p. 223-244, 1984.</w:t>
      </w:r>
    </w:p>
    <w:p w14:paraId="0A0B26C0"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IBGE.</w:t>
      </w:r>
      <w:r w:rsidRPr="00EB1829">
        <w:rPr>
          <w:rStyle w:val="apple-converted-space"/>
          <w:rFonts w:ascii="Arial" w:hAnsi="Arial" w:cs="Arial"/>
          <w:color w:val="0F1115"/>
        </w:rPr>
        <w:t> </w:t>
      </w:r>
      <w:r w:rsidRPr="00EB1829">
        <w:rPr>
          <w:rStyle w:val="Forte"/>
          <w:rFonts w:ascii="Arial" w:hAnsi="Arial" w:cs="Arial"/>
          <w:color w:val="0F1115"/>
        </w:rPr>
        <w:t>Pesquisa Nacional por Amostra de Domicílios Contínua (PNAD)</w:t>
      </w:r>
      <w:r w:rsidRPr="00EB1829">
        <w:rPr>
          <w:rFonts w:ascii="Arial" w:hAnsi="Arial" w:cs="Arial"/>
          <w:color w:val="0F1115"/>
        </w:rPr>
        <w:t>, 2022.</w:t>
      </w:r>
    </w:p>
    <w:p w14:paraId="68DA4593"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INEP.</w:t>
      </w:r>
      <w:r w:rsidRPr="00EB1829">
        <w:rPr>
          <w:rStyle w:val="apple-converted-space"/>
          <w:rFonts w:ascii="Arial" w:hAnsi="Arial" w:cs="Arial"/>
          <w:color w:val="0F1115"/>
        </w:rPr>
        <w:t> </w:t>
      </w:r>
      <w:r w:rsidRPr="00EB1829">
        <w:rPr>
          <w:rStyle w:val="Forte"/>
          <w:rFonts w:ascii="Arial" w:hAnsi="Arial" w:cs="Arial"/>
          <w:color w:val="0F1115"/>
        </w:rPr>
        <w:t>Censo da Educação Superior</w:t>
      </w:r>
      <w:r w:rsidRPr="00EB1829">
        <w:rPr>
          <w:rFonts w:ascii="Arial" w:hAnsi="Arial" w:cs="Arial"/>
          <w:color w:val="0F1115"/>
        </w:rPr>
        <w:t>, 2021.</w:t>
      </w:r>
    </w:p>
    <w:p w14:paraId="18AC1097"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IPEA; FBSP.</w:t>
      </w:r>
      <w:r w:rsidRPr="00EB1829">
        <w:rPr>
          <w:rStyle w:val="apple-converted-space"/>
          <w:rFonts w:ascii="Arial" w:hAnsi="Arial" w:cs="Arial"/>
          <w:color w:val="0F1115"/>
        </w:rPr>
        <w:t> </w:t>
      </w:r>
      <w:r w:rsidRPr="00EB1829">
        <w:rPr>
          <w:rStyle w:val="Forte"/>
          <w:rFonts w:ascii="Arial" w:hAnsi="Arial" w:cs="Arial"/>
          <w:color w:val="0F1115"/>
        </w:rPr>
        <w:t>Atlas da Violência</w:t>
      </w:r>
      <w:r w:rsidRPr="00EB1829">
        <w:rPr>
          <w:rFonts w:ascii="Arial" w:hAnsi="Arial" w:cs="Arial"/>
          <w:color w:val="0F1115"/>
        </w:rPr>
        <w:t>, 2023.</w:t>
      </w:r>
    </w:p>
    <w:p w14:paraId="1C0531D2"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SANTOS SOUZA, Neusa.</w:t>
      </w:r>
      <w:r w:rsidRPr="00EB1829">
        <w:rPr>
          <w:rStyle w:val="apple-converted-space"/>
          <w:rFonts w:ascii="Arial" w:hAnsi="Arial" w:cs="Arial"/>
          <w:color w:val="0F1115"/>
        </w:rPr>
        <w:t> </w:t>
      </w:r>
      <w:r w:rsidRPr="00EB1829">
        <w:rPr>
          <w:rStyle w:val="Forte"/>
          <w:rFonts w:ascii="Arial" w:hAnsi="Arial" w:cs="Arial"/>
          <w:color w:val="0F1115"/>
        </w:rPr>
        <w:t>Tornar-se negro: ou as vicissitudes da identidade do negro brasileiro em ascensão social</w:t>
      </w:r>
      <w:r w:rsidRPr="00EB1829">
        <w:rPr>
          <w:rFonts w:ascii="Arial" w:hAnsi="Arial" w:cs="Arial"/>
          <w:color w:val="0F1115"/>
        </w:rPr>
        <w:t>. Rio de Janeiro: Zahar, 2021.</w:t>
      </w:r>
    </w:p>
    <w:p w14:paraId="0E550B47"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TSE.</w:t>
      </w:r>
      <w:r w:rsidRPr="00EB1829">
        <w:rPr>
          <w:rStyle w:val="apple-converted-space"/>
          <w:rFonts w:ascii="Arial" w:hAnsi="Arial" w:cs="Arial"/>
          <w:color w:val="0F1115"/>
        </w:rPr>
        <w:t> </w:t>
      </w:r>
      <w:r w:rsidRPr="00EB1829">
        <w:rPr>
          <w:rStyle w:val="Forte"/>
          <w:rFonts w:ascii="Arial" w:hAnsi="Arial" w:cs="Arial"/>
          <w:color w:val="0F1115"/>
        </w:rPr>
        <w:t>Estatísticas de Gênero e Raça nas Eleições</w:t>
      </w:r>
      <w:r w:rsidRPr="00EB1829">
        <w:rPr>
          <w:rFonts w:ascii="Arial" w:hAnsi="Arial" w:cs="Arial"/>
          <w:color w:val="0F1115"/>
        </w:rPr>
        <w:t>, 2022.</w:t>
      </w:r>
    </w:p>
    <w:p w14:paraId="6F9E48EE"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WALSH, Catherine (Org.).</w:t>
      </w:r>
      <w:r w:rsidRPr="00EB1829">
        <w:rPr>
          <w:rStyle w:val="apple-converted-space"/>
          <w:rFonts w:ascii="Arial" w:hAnsi="Arial" w:cs="Arial"/>
          <w:color w:val="0F1115"/>
        </w:rPr>
        <w:t> </w:t>
      </w:r>
      <w:proofErr w:type="spellStart"/>
      <w:r w:rsidRPr="00EB1829">
        <w:rPr>
          <w:rStyle w:val="Forte"/>
          <w:rFonts w:ascii="Arial" w:hAnsi="Arial" w:cs="Arial"/>
          <w:color w:val="0F1115"/>
        </w:rPr>
        <w:t>Pedagogías</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Decoloniales</w:t>
      </w:r>
      <w:proofErr w:type="spellEnd"/>
      <w:r w:rsidRPr="00EB1829">
        <w:rPr>
          <w:rStyle w:val="Forte"/>
          <w:rFonts w:ascii="Arial" w:hAnsi="Arial" w:cs="Arial"/>
          <w:color w:val="0F1115"/>
        </w:rPr>
        <w:t xml:space="preserve">: </w:t>
      </w:r>
      <w:proofErr w:type="spellStart"/>
      <w:r w:rsidRPr="00EB1829">
        <w:rPr>
          <w:rStyle w:val="Forte"/>
          <w:rFonts w:ascii="Arial" w:hAnsi="Arial" w:cs="Arial"/>
          <w:color w:val="0F1115"/>
        </w:rPr>
        <w:t>Prácticas</w:t>
      </w:r>
      <w:proofErr w:type="spellEnd"/>
      <w:r w:rsidRPr="00EB1829">
        <w:rPr>
          <w:rStyle w:val="Forte"/>
          <w:rFonts w:ascii="Arial" w:hAnsi="Arial" w:cs="Arial"/>
          <w:color w:val="0F1115"/>
        </w:rPr>
        <w:t xml:space="preserve"> insurgentes de resistir, (</w:t>
      </w:r>
      <w:proofErr w:type="spellStart"/>
      <w:r w:rsidRPr="00EB1829">
        <w:rPr>
          <w:rStyle w:val="Forte"/>
          <w:rFonts w:ascii="Arial" w:hAnsi="Arial" w:cs="Arial"/>
          <w:color w:val="0F1115"/>
        </w:rPr>
        <w:t>re</w:t>
      </w:r>
      <w:proofErr w:type="spellEnd"/>
      <w:r w:rsidRPr="00EB1829">
        <w:rPr>
          <w:rStyle w:val="Forte"/>
          <w:rFonts w:ascii="Arial" w:hAnsi="Arial" w:cs="Arial"/>
          <w:color w:val="0F1115"/>
        </w:rPr>
        <w:t>)existir y (</w:t>
      </w:r>
      <w:proofErr w:type="spellStart"/>
      <w:r w:rsidRPr="00EB1829">
        <w:rPr>
          <w:rStyle w:val="Forte"/>
          <w:rFonts w:ascii="Arial" w:hAnsi="Arial" w:cs="Arial"/>
          <w:color w:val="0F1115"/>
        </w:rPr>
        <w:t>re</w:t>
      </w:r>
      <w:proofErr w:type="spellEnd"/>
      <w:r w:rsidRPr="00EB1829">
        <w:rPr>
          <w:rStyle w:val="Forte"/>
          <w:rFonts w:ascii="Arial" w:hAnsi="Arial" w:cs="Arial"/>
          <w:color w:val="0F1115"/>
        </w:rPr>
        <w:t>)</w:t>
      </w:r>
      <w:proofErr w:type="spellStart"/>
      <w:r w:rsidRPr="00EB1829">
        <w:rPr>
          <w:rStyle w:val="Forte"/>
          <w:rFonts w:ascii="Arial" w:hAnsi="Arial" w:cs="Arial"/>
          <w:color w:val="0F1115"/>
        </w:rPr>
        <w:t>vivir</w:t>
      </w:r>
      <w:proofErr w:type="spellEnd"/>
      <w:r w:rsidRPr="00EB1829">
        <w:rPr>
          <w:rFonts w:ascii="Arial" w:hAnsi="Arial" w:cs="Arial"/>
          <w:color w:val="0F1115"/>
        </w:rPr>
        <w:t xml:space="preserve">. Tomo I. Quito: </w:t>
      </w:r>
      <w:proofErr w:type="spellStart"/>
      <w:r w:rsidRPr="00EB1829">
        <w:rPr>
          <w:rFonts w:ascii="Arial" w:hAnsi="Arial" w:cs="Arial"/>
          <w:color w:val="0F1115"/>
        </w:rPr>
        <w:t>Ediciones</w:t>
      </w:r>
      <w:proofErr w:type="spellEnd"/>
      <w:r w:rsidRPr="00EB1829">
        <w:rPr>
          <w:rFonts w:ascii="Arial" w:hAnsi="Arial" w:cs="Arial"/>
          <w:color w:val="0F1115"/>
        </w:rPr>
        <w:t xml:space="preserve"> </w:t>
      </w:r>
      <w:proofErr w:type="spellStart"/>
      <w:r w:rsidRPr="00EB1829">
        <w:rPr>
          <w:rFonts w:ascii="Arial" w:hAnsi="Arial" w:cs="Arial"/>
          <w:color w:val="0F1115"/>
        </w:rPr>
        <w:t>Abya</w:t>
      </w:r>
      <w:proofErr w:type="spellEnd"/>
      <w:r w:rsidRPr="00EB1829">
        <w:rPr>
          <w:rFonts w:ascii="Arial" w:hAnsi="Arial" w:cs="Arial"/>
          <w:color w:val="0F1115"/>
        </w:rPr>
        <w:t xml:space="preserve"> Yala, 2012.</w:t>
      </w:r>
    </w:p>
    <w:p w14:paraId="2660BDC3" w14:textId="77777777" w:rsidR="00EB1829" w:rsidRPr="00EB1829" w:rsidRDefault="00EB1829" w:rsidP="00EB1829">
      <w:pPr>
        <w:pStyle w:val="ds-markdown-paragraph"/>
        <w:spacing w:before="240" w:beforeAutospacing="0" w:after="240" w:afterAutospacing="0"/>
        <w:jc w:val="both"/>
        <w:rPr>
          <w:rFonts w:ascii="Arial" w:hAnsi="Arial" w:cs="Arial"/>
          <w:color w:val="0F1115"/>
        </w:rPr>
      </w:pPr>
      <w:r w:rsidRPr="00EB1829">
        <w:rPr>
          <w:rFonts w:ascii="Arial" w:hAnsi="Arial" w:cs="Arial"/>
          <w:color w:val="0F1115"/>
        </w:rPr>
        <w:t>WALSH, Catherine.</w:t>
      </w:r>
      <w:r w:rsidRPr="00EB1829">
        <w:rPr>
          <w:rStyle w:val="apple-converted-space"/>
          <w:rFonts w:ascii="Arial" w:hAnsi="Arial" w:cs="Arial"/>
          <w:color w:val="0F1115"/>
        </w:rPr>
        <w:t> </w:t>
      </w:r>
      <w:proofErr w:type="spellStart"/>
      <w:r w:rsidRPr="00EB1829">
        <w:rPr>
          <w:rStyle w:val="Forte"/>
          <w:rFonts w:ascii="Arial" w:hAnsi="Arial" w:cs="Arial"/>
          <w:color w:val="0F1115"/>
        </w:rPr>
        <w:t>Interculturalidad</w:t>
      </w:r>
      <w:proofErr w:type="spellEnd"/>
      <w:r w:rsidRPr="00EB1829">
        <w:rPr>
          <w:rStyle w:val="Forte"/>
          <w:rFonts w:ascii="Arial" w:hAnsi="Arial" w:cs="Arial"/>
          <w:color w:val="0F1115"/>
        </w:rPr>
        <w:t xml:space="preserve">, Estado, </w:t>
      </w:r>
      <w:proofErr w:type="spellStart"/>
      <w:r w:rsidRPr="00EB1829">
        <w:rPr>
          <w:rStyle w:val="Forte"/>
          <w:rFonts w:ascii="Arial" w:hAnsi="Arial" w:cs="Arial"/>
          <w:color w:val="0F1115"/>
        </w:rPr>
        <w:t>Sociedad</w:t>
      </w:r>
      <w:proofErr w:type="spellEnd"/>
      <w:r w:rsidRPr="00EB1829">
        <w:rPr>
          <w:rStyle w:val="Forte"/>
          <w:rFonts w:ascii="Arial" w:hAnsi="Arial" w:cs="Arial"/>
          <w:color w:val="0F1115"/>
        </w:rPr>
        <w:t>: luchas (de)</w:t>
      </w:r>
      <w:proofErr w:type="spellStart"/>
      <w:r w:rsidRPr="00EB1829">
        <w:rPr>
          <w:rStyle w:val="Forte"/>
          <w:rFonts w:ascii="Arial" w:hAnsi="Arial" w:cs="Arial"/>
          <w:color w:val="0F1115"/>
        </w:rPr>
        <w:t>coloniales</w:t>
      </w:r>
      <w:proofErr w:type="spellEnd"/>
      <w:r w:rsidRPr="00EB1829">
        <w:rPr>
          <w:rStyle w:val="Forte"/>
          <w:rFonts w:ascii="Arial" w:hAnsi="Arial" w:cs="Arial"/>
          <w:color w:val="0F1115"/>
        </w:rPr>
        <w:t xml:space="preserve"> de </w:t>
      </w:r>
      <w:proofErr w:type="spellStart"/>
      <w:r w:rsidRPr="00EB1829">
        <w:rPr>
          <w:rStyle w:val="Forte"/>
          <w:rFonts w:ascii="Arial" w:hAnsi="Arial" w:cs="Arial"/>
          <w:color w:val="0F1115"/>
        </w:rPr>
        <w:t>nuestra</w:t>
      </w:r>
      <w:proofErr w:type="spellEnd"/>
      <w:r w:rsidRPr="00EB1829">
        <w:rPr>
          <w:rStyle w:val="Forte"/>
          <w:rFonts w:ascii="Arial" w:hAnsi="Arial" w:cs="Arial"/>
          <w:color w:val="0F1115"/>
        </w:rPr>
        <w:t xml:space="preserve"> época</w:t>
      </w:r>
      <w:r w:rsidRPr="00EB1829">
        <w:rPr>
          <w:rFonts w:ascii="Arial" w:hAnsi="Arial" w:cs="Arial"/>
          <w:color w:val="0F1115"/>
        </w:rPr>
        <w:t xml:space="preserve">. Quito: </w:t>
      </w:r>
      <w:proofErr w:type="spellStart"/>
      <w:r w:rsidRPr="00EB1829">
        <w:rPr>
          <w:rFonts w:ascii="Arial" w:hAnsi="Arial" w:cs="Arial"/>
          <w:color w:val="0F1115"/>
        </w:rPr>
        <w:t>Universidad</w:t>
      </w:r>
      <w:proofErr w:type="spellEnd"/>
      <w:r w:rsidRPr="00EB1829">
        <w:rPr>
          <w:rFonts w:ascii="Arial" w:hAnsi="Arial" w:cs="Arial"/>
          <w:color w:val="0F1115"/>
        </w:rPr>
        <w:t xml:space="preserve"> Andina Simón Bolívar / </w:t>
      </w:r>
      <w:proofErr w:type="spellStart"/>
      <w:r w:rsidRPr="00EB1829">
        <w:rPr>
          <w:rFonts w:ascii="Arial" w:hAnsi="Arial" w:cs="Arial"/>
          <w:color w:val="0F1115"/>
        </w:rPr>
        <w:t>Abya</w:t>
      </w:r>
      <w:proofErr w:type="spellEnd"/>
      <w:r w:rsidRPr="00EB1829">
        <w:rPr>
          <w:rFonts w:ascii="Arial" w:hAnsi="Arial" w:cs="Arial"/>
          <w:color w:val="0F1115"/>
        </w:rPr>
        <w:t xml:space="preserve"> Yala, 2013</w:t>
      </w:r>
    </w:p>
    <w:p w14:paraId="05BF572D" w14:textId="77777777" w:rsidR="00CB18D3" w:rsidRDefault="00CB18D3" w:rsidP="00500C36"/>
    <w:p w14:paraId="18801B70" w14:textId="77777777" w:rsidR="00CB18D3" w:rsidRDefault="00CB18D3">
      <w:pPr>
        <w:spacing w:after="200" w:line="240" w:lineRule="auto"/>
        <w:jc w:val="both"/>
        <w:rPr>
          <w:b/>
          <w:bCs/>
          <w:sz w:val="24"/>
          <w:szCs w:val="24"/>
        </w:rPr>
      </w:pPr>
    </w:p>
    <w:sectPr w:rsidR="00CB18D3">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CFC934" w14:textId="77777777" w:rsidR="00451B00" w:rsidRDefault="00451B00">
      <w:pPr>
        <w:spacing w:line="240" w:lineRule="auto"/>
      </w:pPr>
      <w:r>
        <w:separator/>
      </w:r>
    </w:p>
  </w:endnote>
  <w:endnote w:type="continuationSeparator" w:id="0">
    <w:p w14:paraId="51E078BA" w14:textId="77777777" w:rsidR="00451B00" w:rsidRDefault="00451B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38A04D1-FF29-C047-A82C-6D8CB41C1BF9}"/>
    <w:embedBold r:id="rId2" w:fontKey="{8EAD5E45-E6DB-C544-BADF-FF9D9EF8DBDB}"/>
    <w:embedItalic r:id="rId3" w:fontKey="{8E4D5963-6821-D240-A6B4-76CAAF18AC44}"/>
  </w:font>
  <w:font w:name="Times New Roman">
    <w:panose1 w:val="02020603050405020304"/>
    <w:charset w:val="00"/>
    <w:family w:val="roman"/>
    <w:pitch w:val="variable"/>
    <w:sig w:usb0="E0002EFF" w:usb1="C000785B" w:usb2="00000009" w:usb3="00000000" w:csb0="000001FF" w:csb1="00000000"/>
    <w:embedRegular r:id="rId4" w:fontKey="{219E4A04-6189-C34D-97D6-96E95731342F}"/>
    <w:embedBold r:id="rId5" w:fontKey="{E5FCF907-7F80-E840-A6FD-0C023D267E94}"/>
  </w:font>
  <w:font w:name="Calibri">
    <w:panose1 w:val="020F0502020204030204"/>
    <w:charset w:val="00"/>
    <w:family w:val="swiss"/>
    <w:pitch w:val="variable"/>
    <w:sig w:usb0="E0002AFF" w:usb1="C000247B" w:usb2="00000009" w:usb3="00000000" w:csb0="000001FF" w:csb1="00000000"/>
    <w:embedRegular r:id="rId6" w:fontKey="{CA991382-7D96-DE4C-9E12-83E1130C6FE3}"/>
  </w:font>
  <w:font w:name="Cambria">
    <w:panose1 w:val="02040503050406030204"/>
    <w:charset w:val="00"/>
    <w:family w:val="roman"/>
    <w:pitch w:val="variable"/>
    <w:sig w:usb0="E00002FF" w:usb1="400004FF" w:usb2="00000000" w:usb3="00000000" w:csb0="0000019F" w:csb1="00000000"/>
    <w:embedRegular r:id="rId7" w:fontKey="{B39CEC99-CC1E-214B-A721-CF1E243983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C9B04" w14:textId="77777777" w:rsidR="00CB18D3" w:rsidRDefault="00000000">
    <w:pPr>
      <w:jc w:val="center"/>
    </w:pPr>
    <w:r>
      <w:fldChar w:fldCharType="begin"/>
    </w:r>
    <w:r>
      <w:instrText>PAGE</w:instrText>
    </w:r>
    <w:r>
      <w:fldChar w:fldCharType="separate"/>
    </w:r>
    <w:r w:rsidR="0074444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C5D6D4" w14:textId="77777777" w:rsidR="00CB18D3" w:rsidRDefault="00CB1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D5284A" w14:textId="77777777" w:rsidR="00451B00" w:rsidRDefault="00451B00">
      <w:pPr>
        <w:spacing w:line="240" w:lineRule="auto"/>
      </w:pPr>
      <w:r>
        <w:separator/>
      </w:r>
    </w:p>
  </w:footnote>
  <w:footnote w:type="continuationSeparator" w:id="0">
    <w:p w14:paraId="66D62E25" w14:textId="77777777" w:rsidR="00451B00" w:rsidRDefault="00451B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A79F2" w14:textId="77777777" w:rsidR="00CB18D3" w:rsidRDefault="00000000">
    <w:pPr>
      <w:jc w:val="right"/>
    </w:pPr>
    <w:r>
      <w:rPr>
        <w:noProof/>
      </w:rPr>
      <w:drawing>
        <wp:anchor distT="114300" distB="114300" distL="114300" distR="114300" simplePos="0" relativeHeight="251658240" behindDoc="1" locked="0" layoutInCell="1" hidden="0" allowOverlap="1" wp14:anchorId="54791F3F" wp14:editId="45B0A22E">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44AA6F0" wp14:editId="5EF31210">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C051AA0" w14:textId="77777777" w:rsidR="00CB18D3" w:rsidRDefault="00CB18D3">
    <w:pPr>
      <w:jc w:val="right"/>
    </w:pPr>
  </w:p>
  <w:p w14:paraId="3ADB1A35" w14:textId="77777777" w:rsidR="00CB18D3" w:rsidRDefault="00CB18D3">
    <w:pPr>
      <w:jc w:val="right"/>
    </w:pPr>
  </w:p>
  <w:p w14:paraId="028931EF" w14:textId="77777777" w:rsidR="00CB18D3" w:rsidRDefault="00000000">
    <w:r>
      <w:rPr>
        <w:noProof/>
      </w:rPr>
      <w:drawing>
        <wp:anchor distT="114300" distB="114300" distL="114300" distR="114300" simplePos="0" relativeHeight="251660288" behindDoc="1" locked="0" layoutInCell="1" hidden="0" allowOverlap="1" wp14:anchorId="2E08D797" wp14:editId="2443854A">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8F59D" w14:textId="77777777" w:rsidR="00CB18D3" w:rsidRDefault="00CB18D3"/>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8D3"/>
    <w:rsid w:val="00451B00"/>
    <w:rsid w:val="00500C36"/>
    <w:rsid w:val="0074444F"/>
    <w:rsid w:val="00CB18D3"/>
    <w:rsid w:val="00EB1829"/>
    <w:rsid w:val="00F75A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7FAE995"/>
  <w15:docId w15:val="{FABE79E1-B1AF-164C-A852-44EE607C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74444F"/>
    <w:rPr>
      <w:color w:val="0000FF" w:themeColor="hyperlink"/>
      <w:u w:val="single"/>
    </w:rPr>
  </w:style>
  <w:style w:type="character" w:styleId="MenoPendente">
    <w:name w:val="Unresolved Mention"/>
    <w:basedOn w:val="Fontepargpadro"/>
    <w:uiPriority w:val="99"/>
    <w:semiHidden/>
    <w:unhideWhenUsed/>
    <w:rsid w:val="0074444F"/>
    <w:rPr>
      <w:color w:val="605E5C"/>
      <w:shd w:val="clear" w:color="auto" w:fill="E1DFDD"/>
    </w:rPr>
  </w:style>
  <w:style w:type="paragraph" w:customStyle="1" w:styleId="ds-markdown-paragraph">
    <w:name w:val="ds-markdown-paragraph"/>
    <w:basedOn w:val="Normal"/>
    <w:rsid w:val="00EB1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Fontepargpadro"/>
    <w:rsid w:val="00EB1829"/>
  </w:style>
  <w:style w:type="character" w:styleId="Forte">
    <w:name w:val="Strong"/>
    <w:basedOn w:val="Fontepargpadro"/>
    <w:uiPriority w:val="22"/>
    <w:qFormat/>
    <w:rsid w:val="00EB18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1133</Words>
  <Characters>6123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Valéria Gomes</cp:lastModifiedBy>
  <cp:revision>2</cp:revision>
  <dcterms:created xsi:type="dcterms:W3CDTF">2026-07-27T00:34:00Z</dcterms:created>
  <dcterms:modified xsi:type="dcterms:W3CDTF">2026-07-27T00:34:00Z</dcterms:modified>
</cp:coreProperties>
</file>