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9776C" w14:textId="190DCB6D" w:rsidR="000D7D2F" w:rsidRPr="00953C47" w:rsidRDefault="005618D9" w:rsidP="7FB33C82">
      <w:pPr>
        <w:keepLines/>
        <w:widowControl w:val="0"/>
        <w:spacing w:after="120" w:line="240" w:lineRule="auto"/>
        <w:jc w:val="center"/>
        <w:rPr>
          <w:rFonts w:eastAsia="Open Sans"/>
          <w:b/>
          <w:bCs/>
          <w:sz w:val="24"/>
          <w:szCs w:val="24"/>
        </w:rPr>
      </w:pPr>
      <w:r>
        <w:rPr>
          <w:rFonts w:eastAsia="Open Sans"/>
          <w:b/>
          <w:bCs/>
          <w:sz w:val="24"/>
          <w:szCs w:val="24"/>
        </w:rPr>
        <w:t xml:space="preserve"> </w:t>
      </w:r>
      <w:r w:rsidR="00953C47" w:rsidRPr="00953C47">
        <w:rPr>
          <w:rFonts w:eastAsia="Open Sans"/>
          <w:b/>
          <w:bCs/>
          <w:sz w:val="24"/>
          <w:szCs w:val="24"/>
        </w:rPr>
        <w:t>CONVERSATÓRIO 3 - ETNOCENOLOGIA, EDUCAÇÃO E O SÉCULO XXI: NOVOS LÉXICOS, LOCAIS DE FALA E SUAS RELAÇÕES DECOLONIAIS</w:t>
      </w:r>
    </w:p>
    <w:p w14:paraId="00000003" w14:textId="77777777" w:rsidR="000D7D2F" w:rsidRDefault="000D7D2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4" w14:textId="77777777" w:rsidR="000D7D2F" w:rsidRDefault="000D7D2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5" w14:textId="3DAD7EC6" w:rsidR="000D7D2F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953C47">
        <w:rPr>
          <w:b/>
          <w:bCs/>
          <w:sz w:val="24"/>
          <w:szCs w:val="24"/>
        </w:rPr>
        <w:t>Ações institucionais de promoção da igualdade étnico-racial no âmbito da AGU: entre possibilidades e desafios</w:t>
      </w:r>
      <w:r>
        <w:rPr>
          <w:b/>
          <w:bCs/>
          <w:sz w:val="24"/>
          <w:szCs w:val="24"/>
        </w:rPr>
        <w:t xml:space="preserve"> </w:t>
      </w:r>
    </w:p>
    <w:p w14:paraId="00000007" w14:textId="77777777" w:rsidR="000D7D2F" w:rsidRDefault="000D7D2F">
      <w:pPr>
        <w:keepLines/>
        <w:widowControl w:val="0"/>
        <w:spacing w:line="240" w:lineRule="auto"/>
        <w:rPr>
          <w:sz w:val="24"/>
          <w:szCs w:val="24"/>
        </w:rPr>
      </w:pPr>
    </w:p>
    <w:p w14:paraId="00000008" w14:textId="77777777" w:rsidR="000D7D2F" w:rsidRDefault="000D7D2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757F3D5" w14:textId="41A41B44" w:rsidR="000435A5" w:rsidRDefault="000435A5" w:rsidP="7FB33C82">
      <w:pPr>
        <w:keepLines/>
        <w:widowControl w:val="0"/>
        <w:spacing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Isabel Camilo de Camargo, Escola Superior da AGU, </w:t>
      </w:r>
      <w:r w:rsidR="00C45007" w:rsidRPr="006808E2">
        <w:rPr>
          <w:sz w:val="24"/>
          <w:szCs w:val="24"/>
          <w:lang w:val="en-US"/>
        </w:rPr>
        <w:t>isabel.camargo@agu.gov.br</w:t>
      </w:r>
      <w:r>
        <w:rPr>
          <w:sz w:val="24"/>
          <w:szCs w:val="24"/>
          <w:lang w:val="en-US"/>
        </w:rPr>
        <w:t>.</w:t>
      </w:r>
    </w:p>
    <w:p w14:paraId="69BF6286" w14:textId="77777777" w:rsidR="00C45007" w:rsidRDefault="00C45007" w:rsidP="7FB33C82">
      <w:pPr>
        <w:keepLines/>
        <w:widowControl w:val="0"/>
        <w:spacing w:line="240" w:lineRule="auto"/>
        <w:jc w:val="right"/>
        <w:rPr>
          <w:sz w:val="24"/>
          <w:szCs w:val="24"/>
          <w:lang w:val="en-US"/>
        </w:rPr>
      </w:pPr>
    </w:p>
    <w:p w14:paraId="00000009" w14:textId="29A69968" w:rsidR="000D7D2F" w:rsidRDefault="00953C47" w:rsidP="7FB33C82">
      <w:pPr>
        <w:keepLines/>
        <w:widowControl w:val="0"/>
        <w:spacing w:line="240" w:lineRule="auto"/>
        <w:jc w:val="right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Denilton</w:t>
      </w:r>
      <w:proofErr w:type="spellEnd"/>
      <w:r>
        <w:rPr>
          <w:sz w:val="24"/>
          <w:szCs w:val="24"/>
          <w:lang w:val="en-US"/>
        </w:rPr>
        <w:t xml:space="preserve"> Leal Carvalho, </w:t>
      </w:r>
      <w:proofErr w:type="spellStart"/>
      <w:r w:rsidRPr="00953C47">
        <w:rPr>
          <w:sz w:val="24"/>
          <w:szCs w:val="24"/>
          <w:lang w:val="en-US"/>
        </w:rPr>
        <w:t>Procuradoria</w:t>
      </w:r>
      <w:proofErr w:type="spellEnd"/>
      <w:r w:rsidRPr="00953C47">
        <w:rPr>
          <w:sz w:val="24"/>
          <w:szCs w:val="24"/>
          <w:lang w:val="en-US"/>
        </w:rPr>
        <w:t xml:space="preserve"> Federal </w:t>
      </w:r>
      <w:r>
        <w:rPr>
          <w:sz w:val="24"/>
          <w:szCs w:val="24"/>
          <w:lang w:val="en-US"/>
        </w:rPr>
        <w:t>j</w:t>
      </w:r>
      <w:r w:rsidRPr="00953C47">
        <w:rPr>
          <w:sz w:val="24"/>
          <w:szCs w:val="24"/>
          <w:lang w:val="en-US"/>
        </w:rPr>
        <w:t xml:space="preserve">unto </w:t>
      </w:r>
      <w:r>
        <w:rPr>
          <w:sz w:val="24"/>
          <w:szCs w:val="24"/>
          <w:lang w:val="en-US"/>
        </w:rPr>
        <w:t>à</w:t>
      </w:r>
      <w:r w:rsidRPr="00953C47">
        <w:rPr>
          <w:sz w:val="24"/>
          <w:szCs w:val="24"/>
          <w:lang w:val="en-US"/>
        </w:rPr>
        <w:t xml:space="preserve"> </w:t>
      </w:r>
      <w:proofErr w:type="spellStart"/>
      <w:r w:rsidRPr="00953C47">
        <w:rPr>
          <w:sz w:val="24"/>
          <w:szCs w:val="24"/>
          <w:lang w:val="en-US"/>
        </w:rPr>
        <w:t>Fundação</w:t>
      </w:r>
      <w:proofErr w:type="spellEnd"/>
      <w:r w:rsidRPr="00953C47">
        <w:rPr>
          <w:sz w:val="24"/>
          <w:szCs w:val="24"/>
          <w:lang w:val="en-US"/>
        </w:rPr>
        <w:t xml:space="preserve"> Cultural Palmares</w:t>
      </w:r>
      <w:r w:rsidR="7FB33C82" w:rsidRPr="7FB33C82">
        <w:rPr>
          <w:sz w:val="24"/>
          <w:szCs w:val="24"/>
          <w:lang w:val="en-US"/>
        </w:rPr>
        <w:t xml:space="preserve">, </w:t>
      </w:r>
      <w:r w:rsidR="00597B87" w:rsidRPr="00597B87">
        <w:rPr>
          <w:sz w:val="24"/>
          <w:szCs w:val="24"/>
          <w:lang w:val="en-US"/>
        </w:rPr>
        <w:t>denilton.carvalho@agu.gov.br</w:t>
      </w:r>
      <w:r w:rsidR="00597B87">
        <w:rPr>
          <w:sz w:val="24"/>
          <w:szCs w:val="24"/>
          <w:lang w:val="en-US"/>
        </w:rPr>
        <w:t>.</w:t>
      </w:r>
    </w:p>
    <w:p w14:paraId="0000000A" w14:textId="491E476A" w:rsidR="000D7D2F" w:rsidRDefault="000D7D2F" w:rsidP="7FB33C82">
      <w:pPr>
        <w:keepLines/>
        <w:widowControl w:val="0"/>
        <w:spacing w:line="240" w:lineRule="auto"/>
        <w:jc w:val="right"/>
        <w:rPr>
          <w:sz w:val="24"/>
          <w:szCs w:val="24"/>
          <w:lang w:val="en-US"/>
        </w:rPr>
      </w:pPr>
    </w:p>
    <w:p w14:paraId="0000000D" w14:textId="77777777" w:rsidR="000D7D2F" w:rsidRDefault="000D7D2F">
      <w:pPr>
        <w:keepLines/>
        <w:widowControl w:val="0"/>
        <w:spacing w:line="240" w:lineRule="auto"/>
        <w:rPr>
          <w:sz w:val="24"/>
          <w:szCs w:val="24"/>
        </w:rPr>
      </w:pPr>
    </w:p>
    <w:p w14:paraId="0000000E" w14:textId="77777777" w:rsidR="000D7D2F" w:rsidRDefault="000D7D2F">
      <w:pPr>
        <w:keepLines/>
        <w:widowControl w:val="0"/>
        <w:spacing w:line="240" w:lineRule="auto"/>
        <w:rPr>
          <w:sz w:val="24"/>
          <w:szCs w:val="24"/>
        </w:rPr>
      </w:pPr>
    </w:p>
    <w:p w14:paraId="0000000F" w14:textId="77777777" w:rsidR="000D7D2F" w:rsidRDefault="000D7D2F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0000010" w14:textId="77777777" w:rsidR="000D7D2F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0000011" w14:textId="77777777" w:rsidR="000D7D2F" w:rsidRDefault="000D7D2F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F6A4112" w14:textId="418F344A" w:rsidR="00597B87" w:rsidRDefault="00597B87" w:rsidP="00597B87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 </w:t>
      </w:r>
      <w:proofErr w:type="spellStart"/>
      <w:r>
        <w:rPr>
          <w:sz w:val="24"/>
          <w:szCs w:val="24"/>
          <w:lang w:val="en-US"/>
        </w:rPr>
        <w:t>Advocacia</w:t>
      </w:r>
      <w:proofErr w:type="spellEnd"/>
      <w:r>
        <w:rPr>
          <w:sz w:val="24"/>
          <w:szCs w:val="24"/>
          <w:lang w:val="en-US"/>
        </w:rPr>
        <w:t xml:space="preserve">-Geral da </w:t>
      </w:r>
      <w:proofErr w:type="spellStart"/>
      <w:r>
        <w:rPr>
          <w:sz w:val="24"/>
          <w:szCs w:val="24"/>
          <w:lang w:val="en-US"/>
        </w:rPr>
        <w:t>União</w:t>
      </w:r>
      <w:proofErr w:type="spellEnd"/>
      <w:r>
        <w:rPr>
          <w:sz w:val="24"/>
          <w:szCs w:val="24"/>
          <w:lang w:val="en-US"/>
        </w:rPr>
        <w:t xml:space="preserve"> (AGU) </w:t>
      </w:r>
      <w:proofErr w:type="spellStart"/>
      <w:r>
        <w:rPr>
          <w:sz w:val="24"/>
          <w:szCs w:val="24"/>
          <w:lang w:val="en-US"/>
        </w:rPr>
        <w:t>estabeleceu</w:t>
      </w:r>
      <w:proofErr w:type="spellEnd"/>
      <w:r>
        <w:rPr>
          <w:sz w:val="24"/>
          <w:szCs w:val="24"/>
          <w:lang w:val="en-US"/>
        </w:rPr>
        <w:t xml:space="preserve"> o </w:t>
      </w:r>
      <w:r w:rsidRPr="00597B87">
        <w:rPr>
          <w:sz w:val="24"/>
          <w:szCs w:val="24"/>
        </w:rPr>
        <w:t>Comitê de Diversidade e Inclusão</w:t>
      </w:r>
      <w:r>
        <w:rPr>
          <w:sz w:val="24"/>
          <w:szCs w:val="24"/>
        </w:rPr>
        <w:t xml:space="preserve"> </w:t>
      </w:r>
      <w:r w:rsidR="006C7B46">
        <w:rPr>
          <w:sz w:val="24"/>
          <w:szCs w:val="24"/>
        </w:rPr>
        <w:t xml:space="preserve">em </w:t>
      </w:r>
      <w:r w:rsidR="00A60096">
        <w:rPr>
          <w:sz w:val="24"/>
          <w:szCs w:val="24"/>
        </w:rPr>
        <w:t>fevereiro de 2023</w:t>
      </w:r>
      <w:r w:rsidR="006C7B4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 em novembro de 2025 institui </w:t>
      </w:r>
      <w:r w:rsidRPr="00597B87">
        <w:rPr>
          <w:sz w:val="24"/>
          <w:szCs w:val="24"/>
        </w:rPr>
        <w:t>Comissões Temáticas Permanentes</w:t>
      </w:r>
      <w:r>
        <w:rPr>
          <w:sz w:val="24"/>
          <w:szCs w:val="24"/>
        </w:rPr>
        <w:t xml:space="preserve">, sendo a </w:t>
      </w:r>
      <w:r w:rsidRPr="00597B87">
        <w:rPr>
          <w:sz w:val="24"/>
          <w:szCs w:val="24"/>
        </w:rPr>
        <w:t xml:space="preserve">Comissão Temática Permanente </w:t>
      </w:r>
      <w:r>
        <w:rPr>
          <w:sz w:val="24"/>
          <w:szCs w:val="24"/>
        </w:rPr>
        <w:t>d</w:t>
      </w:r>
      <w:r w:rsidRPr="00597B87">
        <w:rPr>
          <w:sz w:val="24"/>
          <w:szCs w:val="24"/>
        </w:rPr>
        <w:t>e Igualdade Étnico-Racial</w:t>
      </w:r>
      <w:r>
        <w:rPr>
          <w:sz w:val="24"/>
          <w:szCs w:val="24"/>
        </w:rPr>
        <w:t xml:space="preserve"> (CTPIER) uma delas. A CTPIER tem como objetivo p</w:t>
      </w:r>
      <w:r w:rsidRPr="00597B87">
        <w:rPr>
          <w:sz w:val="24"/>
          <w:szCs w:val="24"/>
        </w:rPr>
        <w:t>romover, no âmbito da Advocacia-Geral da União, a igualdade étnico-racial por meio da formulação, articulação e implementação de ações institucionais voltadas ao enfrentamento do racismo estrutural e institucional, à valorização da diversidade e ao fortalecimento da representatividade racial.</w:t>
      </w:r>
      <w:r>
        <w:rPr>
          <w:sz w:val="24"/>
          <w:szCs w:val="24"/>
        </w:rPr>
        <w:t xml:space="preserve"> Para o alcance desse objetivo são propostas várias ações que busquem </w:t>
      </w:r>
      <w:r w:rsidRPr="00597B87">
        <w:rPr>
          <w:sz w:val="24"/>
          <w:szCs w:val="24"/>
        </w:rPr>
        <w:t>ampliar espaços de diálogo e formação continuada; fomentar articulações interinstitucionais; estruturar mecanismos de monitoramento de políticas de equidade racial; promover a participação e representatividade de pessoas negras no âmbito da AGU; e consolidar redes institucionais de atuação.</w:t>
      </w:r>
    </w:p>
    <w:p w14:paraId="40F20F7D" w14:textId="73CC5278" w:rsidR="00597B87" w:rsidRDefault="00597B87" w:rsidP="7FB33C82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8C0550">
        <w:rPr>
          <w:sz w:val="24"/>
          <w:szCs w:val="24"/>
        </w:rPr>
        <w:t>O presente trabalho busca refletir sobre a importância da educação para as relações étnico-raciais em instituições públicas de forma a promover uma educação não formal</w:t>
      </w:r>
      <w:r w:rsidR="000E0631">
        <w:rPr>
          <w:sz w:val="24"/>
          <w:szCs w:val="24"/>
        </w:rPr>
        <w:t xml:space="preserve"> e permanente</w:t>
      </w:r>
      <w:r w:rsidR="008C0550">
        <w:rPr>
          <w:sz w:val="24"/>
          <w:szCs w:val="24"/>
        </w:rPr>
        <w:t xml:space="preserve"> de adultos, para que possa contribuir para um melhor atendimento </w:t>
      </w:r>
      <w:r w:rsidR="00671BD2">
        <w:rPr>
          <w:sz w:val="24"/>
          <w:szCs w:val="24"/>
        </w:rPr>
        <w:t xml:space="preserve">ao </w:t>
      </w:r>
      <w:r w:rsidR="008C0550">
        <w:rPr>
          <w:sz w:val="24"/>
          <w:szCs w:val="24"/>
        </w:rPr>
        <w:t xml:space="preserve">público, mas que também contribua para a formação social do servidor público enquanto indivíduo, fazendo-o </w:t>
      </w:r>
      <w:r w:rsidR="00671BD2">
        <w:rPr>
          <w:sz w:val="24"/>
          <w:szCs w:val="24"/>
        </w:rPr>
        <w:t>compreender</w:t>
      </w:r>
      <w:r w:rsidR="008C0550">
        <w:rPr>
          <w:sz w:val="24"/>
          <w:szCs w:val="24"/>
        </w:rPr>
        <w:t xml:space="preserve"> as desigualdades étnicas-raciais em nosso país e, assim, fortalecendo a luta antirracista.</w:t>
      </w:r>
    </w:p>
    <w:p w14:paraId="1BE85D05" w14:textId="2DD5D805" w:rsidR="000E0631" w:rsidRDefault="000E0631" w:rsidP="004F0B1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Educação não formal é uma categoria utilizada para referenciar </w:t>
      </w:r>
      <w:r w:rsidRPr="000E0631">
        <w:rPr>
          <w:sz w:val="24"/>
          <w:szCs w:val="24"/>
        </w:rPr>
        <w:t>atividades e experiências diversas</w:t>
      </w:r>
      <w:r>
        <w:rPr>
          <w:sz w:val="24"/>
          <w:szCs w:val="24"/>
        </w:rPr>
        <w:t xml:space="preserve"> e que se diferenciam </w:t>
      </w:r>
      <w:r w:rsidRPr="000E0631">
        <w:rPr>
          <w:sz w:val="24"/>
          <w:szCs w:val="24"/>
        </w:rPr>
        <w:t>das atividades e experiências que ocorrem nas escolas</w:t>
      </w:r>
      <w:r>
        <w:rPr>
          <w:sz w:val="24"/>
          <w:szCs w:val="24"/>
        </w:rPr>
        <w:t xml:space="preserve"> (F</w:t>
      </w:r>
      <w:r w:rsidR="004F0B1F">
        <w:rPr>
          <w:sz w:val="24"/>
          <w:szCs w:val="24"/>
        </w:rPr>
        <w:t>ÁVERO</w:t>
      </w:r>
      <w:r>
        <w:rPr>
          <w:sz w:val="24"/>
          <w:szCs w:val="24"/>
        </w:rPr>
        <w:t xml:space="preserve">, 2007). E a educação permanente é um processo contínuo de aprendizagem que ocorre durante toda a vida do </w:t>
      </w:r>
      <w:r w:rsidR="004F0B1F">
        <w:rPr>
          <w:sz w:val="24"/>
          <w:szCs w:val="24"/>
        </w:rPr>
        <w:t>indivíduo</w:t>
      </w:r>
      <w:r>
        <w:rPr>
          <w:sz w:val="24"/>
          <w:szCs w:val="24"/>
        </w:rPr>
        <w:t>, integrando trabalho e prática profissional com a finalidade de modificar comportamentos e melhorar processos organizacionais</w:t>
      </w:r>
      <w:r w:rsidR="004F0B1F">
        <w:rPr>
          <w:sz w:val="24"/>
          <w:szCs w:val="24"/>
        </w:rPr>
        <w:t xml:space="preserve"> (DALPIA</w:t>
      </w:r>
      <w:r w:rsidR="006B1CB4">
        <w:rPr>
          <w:sz w:val="24"/>
          <w:szCs w:val="24"/>
        </w:rPr>
        <w:t>Z</w:t>
      </w:r>
      <w:r w:rsidR="004F0B1F">
        <w:rPr>
          <w:sz w:val="24"/>
          <w:szCs w:val="24"/>
        </w:rPr>
        <w:t>, 2015).</w:t>
      </w:r>
    </w:p>
    <w:p w14:paraId="0FD1CF47" w14:textId="0A39DD9B" w:rsidR="009C5A21" w:rsidRDefault="004F0B1F" w:rsidP="009C5A21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CTPIER possui o programa </w:t>
      </w:r>
      <w:r w:rsidRPr="004F0B1F">
        <w:rPr>
          <w:sz w:val="24"/>
          <w:szCs w:val="24"/>
        </w:rPr>
        <w:t>“Escritas e Vozes Negras da AGU”</w:t>
      </w:r>
      <w:r w:rsidR="009C5A21">
        <w:rPr>
          <w:sz w:val="24"/>
          <w:szCs w:val="24"/>
        </w:rPr>
        <w:t xml:space="preserve">, que tem como propósito inserir literatura e debates étnico-raciais. Nele é possível propor palestras e entrevistas que ficam disponibilizadas na plataforma educacional da Escola Superior da AGU. No decorrer desse programa já houve a realização de um ciclo de palestras com a participação da filósofa </w:t>
      </w:r>
      <w:proofErr w:type="spellStart"/>
      <w:r w:rsidR="009C5A21">
        <w:rPr>
          <w:sz w:val="24"/>
          <w:szCs w:val="24"/>
        </w:rPr>
        <w:t>Djamila</w:t>
      </w:r>
      <w:proofErr w:type="spellEnd"/>
      <w:r w:rsidR="009C5A21">
        <w:rPr>
          <w:sz w:val="24"/>
          <w:szCs w:val="24"/>
        </w:rPr>
        <w:t xml:space="preserve"> Ribeiro. Também houve palestras, como a da </w:t>
      </w:r>
      <w:proofErr w:type="spellStart"/>
      <w:r w:rsidR="009C5A21" w:rsidRPr="009C5A21">
        <w:rPr>
          <w:sz w:val="24"/>
          <w:szCs w:val="24"/>
        </w:rPr>
        <w:t>Nilma</w:t>
      </w:r>
      <w:proofErr w:type="spellEnd"/>
      <w:r w:rsidR="009C5A21" w:rsidRPr="009C5A21">
        <w:rPr>
          <w:sz w:val="24"/>
          <w:szCs w:val="24"/>
        </w:rPr>
        <w:t xml:space="preserve"> Lino Gomes</w:t>
      </w:r>
      <w:r w:rsidR="009C5A21">
        <w:rPr>
          <w:sz w:val="24"/>
          <w:szCs w:val="24"/>
        </w:rPr>
        <w:t>.</w:t>
      </w:r>
      <w:r w:rsidR="00DB5671">
        <w:rPr>
          <w:sz w:val="24"/>
          <w:szCs w:val="24"/>
        </w:rPr>
        <w:t xml:space="preserve"> Somam-se a essas atividades debates na plataforma educacional com temas relacionados diretamente ao direito público como “O desenvolvimento e acompanhamento de ações antidiscriminatórias” e “Reconhecimento e titulação de terras quilombolas”.</w:t>
      </w:r>
    </w:p>
    <w:p w14:paraId="3DEE8955" w14:textId="4191FAB4" w:rsidR="00B97711" w:rsidRPr="009C5A21" w:rsidRDefault="00B97711" w:rsidP="009C5A21">
      <w:pPr>
        <w:widowControl w:val="0"/>
        <w:spacing w:line="360" w:lineRule="auto"/>
        <w:ind w:firstLine="72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As ações realizadas pela </w:t>
      </w:r>
      <w:r w:rsidRPr="00F7614D">
        <w:rPr>
          <w:sz w:val="24"/>
          <w:szCs w:val="24"/>
        </w:rPr>
        <w:t>CTPIER são importantes porque</w:t>
      </w:r>
      <w:r w:rsidR="00C36AE4">
        <w:rPr>
          <w:sz w:val="24"/>
          <w:szCs w:val="24"/>
        </w:rPr>
        <w:t xml:space="preserve"> somam-se a debates maiores que visam contribuir para a transformação de uma sociedade, de forma a reconhecer suas desigualdades sociais e étnico-raciais históricas, e partir dessa compreensão buscar sua superação. Por isso, há a necessidade das oficinas, cursos e palestras de letramento racial e formação de comissão de </w:t>
      </w:r>
      <w:proofErr w:type="spellStart"/>
      <w:r w:rsidR="00C36AE4">
        <w:rPr>
          <w:sz w:val="24"/>
          <w:szCs w:val="24"/>
        </w:rPr>
        <w:t>heteroidentificação</w:t>
      </w:r>
      <w:proofErr w:type="spellEnd"/>
      <w:r w:rsidR="00C36AE4">
        <w:rPr>
          <w:sz w:val="24"/>
          <w:szCs w:val="24"/>
        </w:rPr>
        <w:t>, por exemplo.</w:t>
      </w:r>
    </w:p>
    <w:p w14:paraId="6091290A" w14:textId="29946A80" w:rsidR="004F0B1F" w:rsidRDefault="00C52390" w:rsidP="00C36AE4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Atualmente há o debate sobre a possibilidade de o Direito partir de uma perspectiva </w:t>
      </w:r>
      <w:proofErr w:type="spellStart"/>
      <w:r>
        <w:rPr>
          <w:sz w:val="24"/>
          <w:szCs w:val="24"/>
        </w:rPr>
        <w:t>decolonial</w:t>
      </w:r>
      <w:proofErr w:type="spellEnd"/>
      <w:r>
        <w:rPr>
          <w:sz w:val="24"/>
          <w:szCs w:val="24"/>
        </w:rPr>
        <w:t xml:space="preserve">. Conforme Lima e </w:t>
      </w:r>
      <w:proofErr w:type="spellStart"/>
      <w:r>
        <w:rPr>
          <w:sz w:val="24"/>
          <w:szCs w:val="24"/>
        </w:rPr>
        <w:t>Kosop</w:t>
      </w:r>
      <w:proofErr w:type="spellEnd"/>
      <w:r>
        <w:rPr>
          <w:sz w:val="24"/>
          <w:szCs w:val="24"/>
        </w:rPr>
        <w:t xml:space="preserve"> (2019), as bases epistemológicas do ordenamento jurídico brasileiro </w:t>
      </w:r>
      <w:r w:rsidR="003F3465">
        <w:rPr>
          <w:sz w:val="24"/>
          <w:szCs w:val="24"/>
        </w:rPr>
        <w:t>reverberam</w:t>
      </w:r>
      <w:r>
        <w:rPr>
          <w:sz w:val="24"/>
          <w:szCs w:val="24"/>
        </w:rPr>
        <w:t xml:space="preserve"> </w:t>
      </w:r>
      <w:r w:rsidRPr="00C52390">
        <w:rPr>
          <w:sz w:val="24"/>
          <w:szCs w:val="24"/>
        </w:rPr>
        <w:t xml:space="preserve">princípios e regras </w:t>
      </w:r>
      <w:r w:rsidR="003F3465">
        <w:rPr>
          <w:sz w:val="24"/>
          <w:szCs w:val="24"/>
        </w:rPr>
        <w:t>vindos</w:t>
      </w:r>
      <w:r w:rsidRPr="00C52390">
        <w:rPr>
          <w:sz w:val="24"/>
          <w:szCs w:val="24"/>
        </w:rPr>
        <w:t xml:space="preserve"> de construções teóricas europeias e hegemônicas</w:t>
      </w:r>
      <w:r w:rsidR="003F3465">
        <w:rPr>
          <w:sz w:val="24"/>
          <w:szCs w:val="24"/>
        </w:rPr>
        <w:t>. Concorda-se com os autores sobre a necessidade de refletir sobre como foi possível a colonização do saber p</w:t>
      </w:r>
      <w:r w:rsidR="003F3465" w:rsidRPr="003F3465">
        <w:rPr>
          <w:sz w:val="24"/>
          <w:szCs w:val="24"/>
        </w:rPr>
        <w:t>ara que se possa romper os grilhões epistemológicos brasileiros</w:t>
      </w:r>
      <w:r w:rsidR="003F3465">
        <w:rPr>
          <w:sz w:val="24"/>
          <w:szCs w:val="24"/>
        </w:rPr>
        <w:t>.</w:t>
      </w:r>
    </w:p>
    <w:p w14:paraId="013DC53E" w14:textId="6576EF1C" w:rsidR="003F3465" w:rsidRDefault="003F3465" w:rsidP="00C36AE4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Nesse entendimento, o Direito, sobretudo o Direito</w:t>
      </w:r>
      <w:r w:rsidR="00F7614D">
        <w:rPr>
          <w:sz w:val="24"/>
          <w:szCs w:val="24"/>
        </w:rPr>
        <w:t xml:space="preserve"> e a Advocacia</w:t>
      </w:r>
      <w:r>
        <w:rPr>
          <w:sz w:val="24"/>
          <w:szCs w:val="24"/>
        </w:rPr>
        <w:t xml:space="preserve"> Público</w:t>
      </w:r>
      <w:r w:rsidR="00F7614D">
        <w:rPr>
          <w:sz w:val="24"/>
          <w:szCs w:val="24"/>
        </w:rPr>
        <w:t>s</w:t>
      </w:r>
      <w:r>
        <w:rPr>
          <w:sz w:val="24"/>
          <w:szCs w:val="24"/>
        </w:rPr>
        <w:t>,</w:t>
      </w:r>
      <w:r w:rsidR="00D45654">
        <w:rPr>
          <w:sz w:val="24"/>
          <w:szCs w:val="24"/>
        </w:rPr>
        <w:t xml:space="preserve"> deve questionar suas bases epistemológicas e as contradições sociais e étnico-raciais existentes. Ou seja, faz-se necessário um debate que questione “[...] </w:t>
      </w:r>
      <w:r w:rsidR="00D45654" w:rsidRPr="00D45654">
        <w:rPr>
          <w:sz w:val="24"/>
          <w:szCs w:val="24"/>
        </w:rPr>
        <w:t xml:space="preserve">as bases epistemológicas do campo jurídico para que se percebam as novas perspectivas para a normatividade e o pensamento do Direito aliado à </w:t>
      </w:r>
      <w:proofErr w:type="spellStart"/>
      <w:r w:rsidR="00D45654" w:rsidRPr="00D45654">
        <w:rPr>
          <w:sz w:val="24"/>
          <w:szCs w:val="24"/>
        </w:rPr>
        <w:t>decolonização</w:t>
      </w:r>
      <w:proofErr w:type="spellEnd"/>
      <w:r w:rsidR="00D45654">
        <w:rPr>
          <w:sz w:val="24"/>
          <w:szCs w:val="24"/>
        </w:rPr>
        <w:t>”, possibilitando, assim, práticas socia</w:t>
      </w:r>
      <w:r w:rsidR="003C2C8A">
        <w:rPr>
          <w:sz w:val="24"/>
          <w:szCs w:val="24"/>
        </w:rPr>
        <w:t>i</w:t>
      </w:r>
      <w:r w:rsidR="00D45654">
        <w:rPr>
          <w:sz w:val="24"/>
          <w:szCs w:val="24"/>
        </w:rPr>
        <w:t>s realmente inclusivas (LIMA e KOSP, 2019,</w:t>
      </w:r>
      <w:r w:rsidR="003C2C8A">
        <w:rPr>
          <w:sz w:val="24"/>
          <w:szCs w:val="24"/>
        </w:rPr>
        <w:t xml:space="preserve"> </w:t>
      </w:r>
      <w:r w:rsidR="00D45654">
        <w:rPr>
          <w:sz w:val="24"/>
          <w:szCs w:val="24"/>
        </w:rPr>
        <w:t xml:space="preserve">p. </w:t>
      </w:r>
      <w:r w:rsidR="003C2C8A">
        <w:rPr>
          <w:sz w:val="24"/>
          <w:szCs w:val="24"/>
        </w:rPr>
        <w:t>2604)</w:t>
      </w:r>
      <w:r w:rsidR="00C77ADE">
        <w:rPr>
          <w:sz w:val="24"/>
          <w:szCs w:val="24"/>
        </w:rPr>
        <w:t>.</w:t>
      </w:r>
    </w:p>
    <w:p w14:paraId="465FCAF3" w14:textId="7FCD092F" w:rsidR="00DB5671" w:rsidRDefault="00DB5671" w:rsidP="004F0B1F">
      <w:pPr>
        <w:keepLines/>
        <w:widowControl w:val="0"/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Entre os desafios a serem enfrentados pela CTPIER temos a necessidade de aprofundamento da perspectiva </w:t>
      </w:r>
      <w:proofErr w:type="spellStart"/>
      <w:r>
        <w:rPr>
          <w:sz w:val="24"/>
          <w:szCs w:val="24"/>
        </w:rPr>
        <w:t>decolonial</w:t>
      </w:r>
      <w:proofErr w:type="spellEnd"/>
      <w:r>
        <w:rPr>
          <w:sz w:val="24"/>
          <w:szCs w:val="24"/>
        </w:rPr>
        <w:t xml:space="preserve"> entre os próprios participantes da comissão devido à diversidade de áreas de formação e expansão da compreensão da perspectiva </w:t>
      </w:r>
      <w:proofErr w:type="spellStart"/>
      <w:r>
        <w:rPr>
          <w:sz w:val="24"/>
          <w:szCs w:val="24"/>
        </w:rPr>
        <w:t>decolonial</w:t>
      </w:r>
      <w:proofErr w:type="spellEnd"/>
      <w:r>
        <w:rPr>
          <w:sz w:val="24"/>
          <w:szCs w:val="24"/>
        </w:rPr>
        <w:t xml:space="preserve"> entre os servidores administrativos e membros da instituição em âmbito nacional, já que a AGU é uma instituição presente em todos os estados do país e se relaciona com diversos setores </w:t>
      </w:r>
      <w:r w:rsidR="00293E5C">
        <w:rPr>
          <w:sz w:val="24"/>
          <w:szCs w:val="24"/>
        </w:rPr>
        <w:t>e instituições federais.</w:t>
      </w:r>
      <w:r w:rsidR="00C36AE4">
        <w:rPr>
          <w:sz w:val="24"/>
          <w:szCs w:val="24"/>
        </w:rPr>
        <w:t xml:space="preserve"> A inserção de temas relacionados à população indígena é outra necessidade, porque apesar da pouca representatividade na composição da instituição, há casos em que a AGU trabalha diretamente com temas relacionados aos direitos dos povos originários.</w:t>
      </w:r>
      <w:r w:rsidR="003C2C8A">
        <w:rPr>
          <w:sz w:val="24"/>
          <w:szCs w:val="24"/>
        </w:rPr>
        <w:t xml:space="preserve"> </w:t>
      </w:r>
      <w:r w:rsidR="003C2C8A" w:rsidRPr="00F7614D">
        <w:rPr>
          <w:sz w:val="24"/>
          <w:szCs w:val="24"/>
        </w:rPr>
        <w:t>O trabalho d</w:t>
      </w:r>
      <w:r w:rsidR="00F7614D" w:rsidRPr="00F7614D">
        <w:rPr>
          <w:sz w:val="24"/>
          <w:szCs w:val="24"/>
        </w:rPr>
        <w:t>a</w:t>
      </w:r>
      <w:r w:rsidR="003C2C8A" w:rsidRPr="00F7614D">
        <w:rPr>
          <w:sz w:val="24"/>
          <w:szCs w:val="24"/>
        </w:rPr>
        <w:t xml:space="preserve"> CTPIER está em fase inicial, porém </w:t>
      </w:r>
      <w:r w:rsidR="00F7614D">
        <w:rPr>
          <w:sz w:val="24"/>
          <w:szCs w:val="24"/>
        </w:rPr>
        <w:t>são atividades necessárias que contribuem para o fortalecimento de uma sociedade mais igualitária e para a reflexão epistemológica da área.</w:t>
      </w:r>
    </w:p>
    <w:p w14:paraId="00000027" w14:textId="77777777" w:rsidR="000D7D2F" w:rsidRDefault="000D7D2F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00000028" w14:textId="77777777" w:rsidR="000D7D2F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00000029" w14:textId="5E806635" w:rsidR="000D7D2F" w:rsidRDefault="008C0550" w:rsidP="7FB33C82">
      <w:pPr>
        <w:keepLines/>
        <w:widowControl w:val="0"/>
        <w:spacing w:line="360" w:lineRule="auto"/>
        <w:jc w:val="both"/>
        <w:rPr>
          <w:sz w:val="24"/>
          <w:szCs w:val="24"/>
          <w:lang w:val="en-US"/>
        </w:rPr>
      </w:pPr>
      <w:r w:rsidRPr="008C0550">
        <w:rPr>
          <w:lang w:val="en-US"/>
        </w:rPr>
        <w:t xml:space="preserve">Educação para as </w:t>
      </w:r>
      <w:proofErr w:type="spellStart"/>
      <w:r w:rsidRPr="008C0550">
        <w:rPr>
          <w:lang w:val="en-US"/>
        </w:rPr>
        <w:t>relações</w:t>
      </w:r>
      <w:proofErr w:type="spellEnd"/>
      <w:r w:rsidRPr="008C0550">
        <w:rPr>
          <w:lang w:val="en-US"/>
        </w:rPr>
        <w:t xml:space="preserve"> </w:t>
      </w:r>
      <w:proofErr w:type="spellStart"/>
      <w:r w:rsidRPr="008C0550">
        <w:rPr>
          <w:lang w:val="en-US"/>
        </w:rPr>
        <w:t>étnico-raciais</w:t>
      </w:r>
      <w:proofErr w:type="spellEnd"/>
      <w:r w:rsidRPr="008C0550">
        <w:rPr>
          <w:lang w:val="en-US"/>
        </w:rPr>
        <w:t xml:space="preserve">; Educação informal; </w:t>
      </w:r>
      <w:proofErr w:type="spellStart"/>
      <w:r w:rsidR="003C2C8A">
        <w:rPr>
          <w:lang w:val="en-US"/>
        </w:rPr>
        <w:t>decolonialidade</w:t>
      </w:r>
      <w:proofErr w:type="spellEnd"/>
      <w:r w:rsidR="003C2C8A">
        <w:rPr>
          <w:lang w:val="en-US"/>
        </w:rPr>
        <w:t xml:space="preserve">; </w:t>
      </w:r>
      <w:proofErr w:type="spellStart"/>
      <w:r w:rsidRPr="008C0550">
        <w:rPr>
          <w:lang w:val="en-US"/>
        </w:rPr>
        <w:t>Advocacia</w:t>
      </w:r>
      <w:proofErr w:type="spellEnd"/>
      <w:r w:rsidRPr="008C0550">
        <w:rPr>
          <w:lang w:val="en-US"/>
        </w:rPr>
        <w:t xml:space="preserve">-Geral da </w:t>
      </w:r>
      <w:proofErr w:type="spellStart"/>
      <w:r w:rsidRPr="008C0550">
        <w:rPr>
          <w:lang w:val="en-US"/>
        </w:rPr>
        <w:t>União</w:t>
      </w:r>
      <w:proofErr w:type="spellEnd"/>
      <w:r w:rsidRPr="008C0550">
        <w:rPr>
          <w:lang w:val="en-US"/>
        </w:rPr>
        <w:t xml:space="preserve">. </w:t>
      </w:r>
    </w:p>
    <w:p w14:paraId="0000002A" w14:textId="77777777" w:rsidR="000D7D2F" w:rsidRDefault="000D7D2F">
      <w:pPr>
        <w:keepLines/>
        <w:widowControl w:val="0"/>
        <w:spacing w:line="240" w:lineRule="auto"/>
        <w:rPr>
          <w:sz w:val="24"/>
          <w:szCs w:val="24"/>
        </w:rPr>
      </w:pPr>
    </w:p>
    <w:p w14:paraId="0000002B" w14:textId="77777777" w:rsidR="000D7D2F" w:rsidRDefault="000D7D2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2C" w14:textId="77777777" w:rsidR="000D7D2F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000002E" w14:textId="6EEED955" w:rsidR="000D7D2F" w:rsidRDefault="000D7D2F">
      <w:pPr>
        <w:rPr>
          <w:sz w:val="24"/>
          <w:szCs w:val="24"/>
          <w:lang w:val="en-US"/>
        </w:rPr>
      </w:pPr>
    </w:p>
    <w:p w14:paraId="1C62FF4F" w14:textId="1D39FECF" w:rsidR="00DB5671" w:rsidRDefault="00DB5671">
      <w:pPr>
        <w:rPr>
          <w:sz w:val="24"/>
          <w:szCs w:val="24"/>
          <w:lang w:val="en-US"/>
        </w:rPr>
      </w:pPr>
      <w:r>
        <w:rPr>
          <w:sz w:val="24"/>
          <w:szCs w:val="24"/>
        </w:rPr>
        <w:t>DALPIA</w:t>
      </w:r>
      <w:r w:rsidR="006B1CB4">
        <w:rPr>
          <w:sz w:val="24"/>
          <w:szCs w:val="24"/>
        </w:rPr>
        <w:t xml:space="preserve">Z, </w:t>
      </w:r>
      <w:r w:rsidR="006B1CB4" w:rsidRPr="006B1CB4">
        <w:rPr>
          <w:sz w:val="24"/>
          <w:szCs w:val="24"/>
        </w:rPr>
        <w:t>Luiza Helena</w:t>
      </w:r>
      <w:r w:rsidR="006B1CB4">
        <w:rPr>
          <w:sz w:val="24"/>
          <w:szCs w:val="24"/>
        </w:rPr>
        <w:t xml:space="preserve">. </w:t>
      </w:r>
      <w:r w:rsidR="006B1CB4" w:rsidRPr="006B1CB4">
        <w:rPr>
          <w:sz w:val="24"/>
          <w:szCs w:val="24"/>
        </w:rPr>
        <w:t xml:space="preserve">Educação </w:t>
      </w:r>
      <w:r w:rsidR="006B1CB4">
        <w:rPr>
          <w:sz w:val="24"/>
          <w:szCs w:val="24"/>
        </w:rPr>
        <w:t>P</w:t>
      </w:r>
      <w:r w:rsidR="006B1CB4" w:rsidRPr="006B1CB4">
        <w:rPr>
          <w:sz w:val="24"/>
          <w:szCs w:val="24"/>
        </w:rPr>
        <w:t xml:space="preserve">ermanente e </w:t>
      </w:r>
      <w:r w:rsidR="006B1CB4">
        <w:rPr>
          <w:sz w:val="24"/>
          <w:szCs w:val="24"/>
        </w:rPr>
        <w:t>P</w:t>
      </w:r>
      <w:r w:rsidR="006B1CB4" w:rsidRPr="006B1CB4">
        <w:rPr>
          <w:sz w:val="24"/>
          <w:szCs w:val="24"/>
        </w:rPr>
        <w:t xml:space="preserve">olíticas </w:t>
      </w:r>
      <w:r w:rsidR="006B1CB4">
        <w:rPr>
          <w:sz w:val="24"/>
          <w:szCs w:val="24"/>
        </w:rPr>
        <w:t>P</w:t>
      </w:r>
      <w:r w:rsidR="006B1CB4" w:rsidRPr="006B1CB4">
        <w:rPr>
          <w:sz w:val="24"/>
          <w:szCs w:val="24"/>
        </w:rPr>
        <w:t>úblicas: problematização de práticas e produção de conhecimentos</w:t>
      </w:r>
      <w:r w:rsidR="006B1CB4">
        <w:rPr>
          <w:sz w:val="24"/>
          <w:szCs w:val="24"/>
        </w:rPr>
        <w:t>.</w:t>
      </w:r>
      <w:r w:rsidR="006B1CB4" w:rsidRPr="005465CF">
        <w:rPr>
          <w:b/>
          <w:bCs/>
          <w:sz w:val="24"/>
          <w:szCs w:val="24"/>
        </w:rPr>
        <w:t xml:space="preserve"> </w:t>
      </w:r>
      <w:r w:rsidR="005465CF" w:rsidRPr="005465CF">
        <w:rPr>
          <w:b/>
          <w:bCs/>
          <w:sz w:val="24"/>
          <w:szCs w:val="24"/>
        </w:rPr>
        <w:t>Revista Roteiro</w:t>
      </w:r>
      <w:r w:rsidR="005465CF">
        <w:rPr>
          <w:sz w:val="24"/>
          <w:szCs w:val="24"/>
        </w:rPr>
        <w:t>.</w:t>
      </w:r>
      <w:r w:rsidR="005465CF" w:rsidRPr="005465CF">
        <w:rPr>
          <w:sz w:val="24"/>
          <w:szCs w:val="24"/>
        </w:rPr>
        <w:t xml:space="preserve"> Edição Especial, </w:t>
      </w:r>
      <w:r w:rsidR="005465CF">
        <w:rPr>
          <w:sz w:val="24"/>
          <w:szCs w:val="24"/>
        </w:rPr>
        <w:t xml:space="preserve">2015, </w:t>
      </w:r>
      <w:r w:rsidR="005465CF" w:rsidRPr="005465CF">
        <w:rPr>
          <w:sz w:val="24"/>
          <w:szCs w:val="24"/>
        </w:rPr>
        <w:t xml:space="preserve">p. 173-192. </w:t>
      </w:r>
      <w:r w:rsidR="005465CF">
        <w:rPr>
          <w:sz w:val="24"/>
          <w:szCs w:val="24"/>
        </w:rPr>
        <w:t xml:space="preserve">Disponível em: </w:t>
      </w:r>
      <w:hyperlink r:id="rId8" w:history="1">
        <w:r w:rsidR="005465CF" w:rsidRPr="005465CF">
          <w:rPr>
            <w:rStyle w:val="Hyperlink"/>
            <w:sz w:val="24"/>
            <w:szCs w:val="24"/>
          </w:rPr>
          <w:t>v. 40 (2015): Roteiro Edição Especial | Roteiro</w:t>
        </w:r>
      </w:hyperlink>
      <w:r w:rsidR="005465CF">
        <w:rPr>
          <w:sz w:val="24"/>
          <w:szCs w:val="24"/>
        </w:rPr>
        <w:t>. Acesso em: 24/07/2026.</w:t>
      </w:r>
    </w:p>
    <w:p w14:paraId="74465C1A" w14:textId="644B9FB3" w:rsidR="00DB5671" w:rsidRDefault="00DB5671">
      <w:pPr>
        <w:rPr>
          <w:sz w:val="24"/>
          <w:szCs w:val="24"/>
          <w:lang w:val="en-US"/>
        </w:rPr>
      </w:pPr>
    </w:p>
    <w:p w14:paraId="6540E992" w14:textId="53474AAD" w:rsidR="00DB5671" w:rsidRDefault="00DB5671">
      <w:pPr>
        <w:rPr>
          <w:sz w:val="24"/>
          <w:szCs w:val="24"/>
        </w:rPr>
      </w:pPr>
      <w:r>
        <w:rPr>
          <w:sz w:val="24"/>
          <w:szCs w:val="24"/>
        </w:rPr>
        <w:t>FÁVERO</w:t>
      </w:r>
      <w:r w:rsidR="00D710B0">
        <w:rPr>
          <w:sz w:val="24"/>
          <w:szCs w:val="24"/>
        </w:rPr>
        <w:t xml:space="preserve">, Osmar. </w:t>
      </w:r>
      <w:r w:rsidR="00D710B0" w:rsidRPr="00D710B0">
        <w:rPr>
          <w:sz w:val="24"/>
          <w:szCs w:val="24"/>
        </w:rPr>
        <w:t>educação não-formal: contextos, percursos e sujeitos</w:t>
      </w:r>
      <w:r w:rsidR="00D710B0">
        <w:rPr>
          <w:sz w:val="24"/>
          <w:szCs w:val="24"/>
        </w:rPr>
        <w:t xml:space="preserve">. </w:t>
      </w:r>
      <w:r w:rsidR="00D710B0" w:rsidRPr="00D710B0">
        <w:rPr>
          <w:b/>
          <w:bCs/>
          <w:sz w:val="24"/>
          <w:szCs w:val="24"/>
        </w:rPr>
        <w:t>Revista Educação &amp; Socieda</w:t>
      </w:r>
      <w:r w:rsidR="00D710B0">
        <w:rPr>
          <w:b/>
          <w:bCs/>
          <w:sz w:val="24"/>
          <w:szCs w:val="24"/>
        </w:rPr>
        <w:t>d</w:t>
      </w:r>
      <w:r w:rsidR="00D710B0" w:rsidRPr="00D710B0">
        <w:rPr>
          <w:b/>
          <w:bCs/>
          <w:sz w:val="24"/>
          <w:szCs w:val="24"/>
        </w:rPr>
        <w:t>e</w:t>
      </w:r>
      <w:r w:rsidR="00D710B0">
        <w:rPr>
          <w:sz w:val="24"/>
          <w:szCs w:val="24"/>
        </w:rPr>
        <w:t xml:space="preserve">. </w:t>
      </w:r>
      <w:r w:rsidR="00D710B0" w:rsidRPr="00D710B0">
        <w:rPr>
          <w:sz w:val="24"/>
          <w:szCs w:val="24"/>
        </w:rPr>
        <w:t xml:space="preserve">vol. 28, n. 99, </w:t>
      </w:r>
      <w:r w:rsidR="00D710B0">
        <w:rPr>
          <w:sz w:val="24"/>
          <w:szCs w:val="24"/>
        </w:rPr>
        <w:t xml:space="preserve">2007, </w:t>
      </w:r>
      <w:r w:rsidR="00D710B0" w:rsidRPr="00D710B0">
        <w:rPr>
          <w:sz w:val="24"/>
          <w:szCs w:val="24"/>
        </w:rPr>
        <w:t>p. 614-617</w:t>
      </w:r>
      <w:r w:rsidR="00D710B0">
        <w:rPr>
          <w:sz w:val="24"/>
          <w:szCs w:val="24"/>
        </w:rPr>
        <w:t>.</w:t>
      </w:r>
      <w:r w:rsidR="00D710B0" w:rsidRPr="00D710B0">
        <w:rPr>
          <w:sz w:val="24"/>
          <w:szCs w:val="24"/>
        </w:rPr>
        <w:t xml:space="preserve"> Disponível em</w:t>
      </w:r>
      <w:r w:rsidR="00D710B0">
        <w:rPr>
          <w:sz w:val="24"/>
          <w:szCs w:val="24"/>
        </w:rPr>
        <w:t xml:space="preserve">: </w:t>
      </w:r>
      <w:hyperlink r:id="rId9" w:history="1">
        <w:r w:rsidR="006B1CB4" w:rsidRPr="006B1CB4">
          <w:rPr>
            <w:rStyle w:val="Hyperlink"/>
            <w:sz w:val="24"/>
            <w:szCs w:val="24"/>
          </w:rPr>
          <w:t>99 V.28 (Maio/Ago. 2007) - Dossiê: “O trabalho docente no contexto latino-americano: algumas perspectivas de análise" | Cedes</w:t>
        </w:r>
      </w:hyperlink>
      <w:r w:rsidR="006B1CB4">
        <w:rPr>
          <w:sz w:val="24"/>
          <w:szCs w:val="24"/>
        </w:rPr>
        <w:t>. Acesso em: 24/07/2026.</w:t>
      </w:r>
    </w:p>
    <w:p w14:paraId="61D2D490" w14:textId="77777777" w:rsidR="003C2C8A" w:rsidRPr="00F7614D" w:rsidRDefault="003C2C8A">
      <w:pPr>
        <w:rPr>
          <w:sz w:val="24"/>
          <w:szCs w:val="24"/>
        </w:rPr>
      </w:pPr>
    </w:p>
    <w:p w14:paraId="67628B3E" w14:textId="790D47DB" w:rsidR="003C2C8A" w:rsidRPr="00F7614D" w:rsidRDefault="003C2C8A">
      <w:pPr>
        <w:rPr>
          <w:sz w:val="24"/>
          <w:szCs w:val="24"/>
          <w:lang w:val="en-US"/>
        </w:rPr>
      </w:pPr>
      <w:r w:rsidRPr="00F7614D">
        <w:rPr>
          <w:sz w:val="24"/>
          <w:szCs w:val="24"/>
        </w:rPr>
        <w:lastRenderedPageBreak/>
        <w:t>LIMA</w:t>
      </w:r>
      <w:r w:rsidR="00F7614D" w:rsidRPr="00F7614D">
        <w:rPr>
          <w:sz w:val="24"/>
          <w:szCs w:val="24"/>
        </w:rPr>
        <w:t xml:space="preserve">, José Edmilson </w:t>
      </w:r>
      <w:r w:rsidR="00F7614D">
        <w:rPr>
          <w:sz w:val="24"/>
          <w:szCs w:val="24"/>
        </w:rPr>
        <w:t>d</w:t>
      </w:r>
      <w:r w:rsidR="00F7614D" w:rsidRPr="00F7614D">
        <w:rPr>
          <w:sz w:val="24"/>
          <w:szCs w:val="24"/>
        </w:rPr>
        <w:t>e Souz</w:t>
      </w:r>
      <w:r w:rsidR="00F7614D">
        <w:rPr>
          <w:sz w:val="24"/>
          <w:szCs w:val="24"/>
        </w:rPr>
        <w:t xml:space="preserve">a; </w:t>
      </w:r>
      <w:r w:rsidRPr="00F7614D">
        <w:rPr>
          <w:sz w:val="24"/>
          <w:szCs w:val="24"/>
        </w:rPr>
        <w:t>KOSP</w:t>
      </w:r>
      <w:r w:rsidR="00F7614D">
        <w:rPr>
          <w:sz w:val="24"/>
          <w:szCs w:val="24"/>
        </w:rPr>
        <w:t xml:space="preserve">, </w:t>
      </w:r>
      <w:r w:rsidR="00F7614D" w:rsidRPr="00F7614D">
        <w:rPr>
          <w:sz w:val="24"/>
          <w:szCs w:val="24"/>
        </w:rPr>
        <w:t xml:space="preserve">Roberto José </w:t>
      </w:r>
      <w:proofErr w:type="spellStart"/>
      <w:r w:rsidR="00F7614D" w:rsidRPr="00F7614D">
        <w:rPr>
          <w:sz w:val="24"/>
          <w:szCs w:val="24"/>
        </w:rPr>
        <w:t>Covaia</w:t>
      </w:r>
      <w:proofErr w:type="spellEnd"/>
      <w:r w:rsidR="00F7614D">
        <w:rPr>
          <w:sz w:val="24"/>
          <w:szCs w:val="24"/>
        </w:rPr>
        <w:t xml:space="preserve">. </w:t>
      </w:r>
      <w:r w:rsidR="00F7614D" w:rsidRPr="00F7614D">
        <w:rPr>
          <w:sz w:val="24"/>
          <w:szCs w:val="24"/>
        </w:rPr>
        <w:t xml:space="preserve">Giro </w:t>
      </w:r>
      <w:proofErr w:type="spellStart"/>
      <w:r w:rsidR="00F7614D" w:rsidRPr="00F7614D">
        <w:rPr>
          <w:sz w:val="24"/>
          <w:szCs w:val="24"/>
        </w:rPr>
        <w:t>Decolonial</w:t>
      </w:r>
      <w:proofErr w:type="spellEnd"/>
      <w:r w:rsidR="00F7614D" w:rsidRPr="00F7614D">
        <w:rPr>
          <w:sz w:val="24"/>
          <w:szCs w:val="24"/>
        </w:rPr>
        <w:t xml:space="preserve"> e o Direito: Para Além de Amarras Coloniais</w:t>
      </w:r>
      <w:r w:rsidR="00F7614D">
        <w:rPr>
          <w:sz w:val="24"/>
          <w:szCs w:val="24"/>
        </w:rPr>
        <w:t xml:space="preserve">. </w:t>
      </w:r>
      <w:r w:rsidR="00F7614D" w:rsidRPr="00F7614D">
        <w:rPr>
          <w:b/>
          <w:bCs/>
          <w:sz w:val="24"/>
          <w:szCs w:val="24"/>
        </w:rPr>
        <w:t xml:space="preserve">Revista Direito e </w:t>
      </w:r>
      <w:proofErr w:type="spellStart"/>
      <w:r w:rsidR="00F7614D" w:rsidRPr="00F7614D">
        <w:rPr>
          <w:b/>
          <w:bCs/>
          <w:sz w:val="24"/>
          <w:szCs w:val="24"/>
        </w:rPr>
        <w:t>Praxis</w:t>
      </w:r>
      <w:proofErr w:type="spellEnd"/>
      <w:r w:rsidR="00F7614D">
        <w:rPr>
          <w:sz w:val="24"/>
          <w:szCs w:val="24"/>
        </w:rPr>
        <w:t xml:space="preserve">. </w:t>
      </w:r>
      <w:r w:rsidR="00F7614D" w:rsidRPr="00F7614D">
        <w:rPr>
          <w:sz w:val="24"/>
          <w:szCs w:val="24"/>
        </w:rPr>
        <w:t>V.10, N.4, 2019, p. 2596-2619.</w:t>
      </w:r>
      <w:r w:rsidR="00F7614D">
        <w:rPr>
          <w:sz w:val="24"/>
          <w:szCs w:val="24"/>
        </w:rPr>
        <w:t xml:space="preserve"> Disponível em:</w:t>
      </w:r>
      <w:r w:rsidR="00D710B0">
        <w:rPr>
          <w:sz w:val="24"/>
          <w:szCs w:val="24"/>
        </w:rPr>
        <w:t xml:space="preserve"> </w:t>
      </w:r>
      <w:r w:rsidR="00D710B0" w:rsidRPr="00D710B0">
        <w:rPr>
          <w:sz w:val="24"/>
          <w:szCs w:val="24"/>
        </w:rPr>
        <w:t>https://doi.org/10.1590/2179-8966/2018/34117</w:t>
      </w:r>
      <w:r w:rsidR="00F7614D">
        <w:rPr>
          <w:sz w:val="24"/>
          <w:szCs w:val="24"/>
        </w:rPr>
        <w:t>. Acesso em 27/07/2026.</w:t>
      </w:r>
    </w:p>
    <w:p w14:paraId="0000002F" w14:textId="77777777" w:rsidR="000D7D2F" w:rsidRDefault="000D7D2F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D7D2F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1462E" w14:textId="77777777" w:rsidR="00782774" w:rsidRDefault="00782774">
      <w:pPr>
        <w:spacing w:line="240" w:lineRule="auto"/>
      </w:pPr>
      <w:r>
        <w:separator/>
      </w:r>
    </w:p>
  </w:endnote>
  <w:endnote w:type="continuationSeparator" w:id="0">
    <w:p w14:paraId="18AF21A6" w14:textId="77777777" w:rsidR="00782774" w:rsidRDefault="007827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002A660-62F5-478B-8C41-19F766613A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863E14-848B-4BAB-9817-7C031BDF9B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4" w14:textId="403F6B8D" w:rsidR="000D7D2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53C4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6" w14:textId="77777777" w:rsidR="000D7D2F" w:rsidRDefault="000D7D2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E8BE3" w14:textId="77777777" w:rsidR="00782774" w:rsidRDefault="00782774">
      <w:pPr>
        <w:spacing w:line="240" w:lineRule="auto"/>
      </w:pPr>
      <w:r>
        <w:separator/>
      </w:r>
    </w:p>
  </w:footnote>
  <w:footnote w:type="continuationSeparator" w:id="0">
    <w:p w14:paraId="16E7047D" w14:textId="77777777" w:rsidR="00782774" w:rsidRDefault="007827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0" w14:textId="77777777" w:rsidR="000D7D2F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6F3BE9F5" wp14:editId="0777777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DBA847F" wp14:editId="0777777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1" w14:textId="77777777" w:rsidR="000D7D2F" w:rsidRDefault="000D7D2F">
    <w:pPr>
      <w:jc w:val="right"/>
    </w:pPr>
  </w:p>
  <w:p w14:paraId="00000032" w14:textId="77777777" w:rsidR="000D7D2F" w:rsidRDefault="000D7D2F">
    <w:pPr>
      <w:jc w:val="right"/>
    </w:pPr>
  </w:p>
  <w:p w14:paraId="00000033" w14:textId="77777777" w:rsidR="000D7D2F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051B72F" wp14:editId="0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5" w14:textId="77777777" w:rsidR="000D7D2F" w:rsidRDefault="000D7D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E2DE0C"/>
    <w:multiLevelType w:val="hybridMultilevel"/>
    <w:tmpl w:val="4BFC644C"/>
    <w:lvl w:ilvl="0" w:tplc="0E5AD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EAE5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0B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48F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B6C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02E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23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6C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54F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94428"/>
    <w:multiLevelType w:val="multilevel"/>
    <w:tmpl w:val="0836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089251">
    <w:abstractNumId w:val="0"/>
  </w:num>
  <w:num w:numId="2" w16cid:durableId="123948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6512C5"/>
    <w:rsid w:val="000435A5"/>
    <w:rsid w:val="000D7D2F"/>
    <w:rsid w:val="000E0631"/>
    <w:rsid w:val="00211E1A"/>
    <w:rsid w:val="00220DEB"/>
    <w:rsid w:val="00293E5C"/>
    <w:rsid w:val="00363DC9"/>
    <w:rsid w:val="003C2C8A"/>
    <w:rsid w:val="003F3465"/>
    <w:rsid w:val="00417359"/>
    <w:rsid w:val="004F0B1F"/>
    <w:rsid w:val="005465CF"/>
    <w:rsid w:val="005618D9"/>
    <w:rsid w:val="00597B87"/>
    <w:rsid w:val="00671BD2"/>
    <w:rsid w:val="006808E2"/>
    <w:rsid w:val="006A48C2"/>
    <w:rsid w:val="006B1CB4"/>
    <w:rsid w:val="006C7B46"/>
    <w:rsid w:val="00751FCE"/>
    <w:rsid w:val="00754CC1"/>
    <w:rsid w:val="00782774"/>
    <w:rsid w:val="007D60E9"/>
    <w:rsid w:val="008C0550"/>
    <w:rsid w:val="008D5327"/>
    <w:rsid w:val="00953C47"/>
    <w:rsid w:val="009C5A21"/>
    <w:rsid w:val="00A60096"/>
    <w:rsid w:val="00B2196F"/>
    <w:rsid w:val="00B94DC1"/>
    <w:rsid w:val="00B97711"/>
    <w:rsid w:val="00BB56E3"/>
    <w:rsid w:val="00C36AE4"/>
    <w:rsid w:val="00C45007"/>
    <w:rsid w:val="00C52390"/>
    <w:rsid w:val="00C77ADE"/>
    <w:rsid w:val="00D45654"/>
    <w:rsid w:val="00D710B0"/>
    <w:rsid w:val="00DB5671"/>
    <w:rsid w:val="00F7614D"/>
    <w:rsid w:val="3F6512C5"/>
    <w:rsid w:val="7FB3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071E6"/>
  <w15:docId w15:val="{0830B273-292A-4333-91A6-E949A152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7FB33C8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0E063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0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iodicos.unoesc.edu.br/roteiro/issue/view/209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cedes.unicamp.br/periodicos/educacao-sociedade/99-v28-maioago-2007-dossie-o-trabalho-docente-no-contexto-latino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A8AC5-7E65-43AA-B761-D0283D252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991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AGU</Company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Camilo De Camargo</dc:creator>
  <cp:lastModifiedBy>Isabel Camilo de Camargo</cp:lastModifiedBy>
  <cp:revision>4</cp:revision>
  <dcterms:created xsi:type="dcterms:W3CDTF">2026-08-16T15:18:00Z</dcterms:created>
  <dcterms:modified xsi:type="dcterms:W3CDTF">2026-08-16T15:18:00Z</dcterms:modified>
</cp:coreProperties>
</file>