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C01B" w14:textId="62BB07D7" w:rsidR="005A11C5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NOME </w:t>
      </w:r>
      <w:proofErr w:type="spellStart"/>
      <w:r w:rsidR="00AB7DBB" w:rsidRPr="00AB7DBB">
        <w:rPr>
          <w:b/>
          <w:bCs/>
          <w:sz w:val="24"/>
          <w:szCs w:val="24"/>
        </w:rPr>
        <w:t>Conversatório</w:t>
      </w:r>
      <w:proofErr w:type="spellEnd"/>
      <w:r w:rsidR="00AB7DBB" w:rsidRPr="00AB7DBB">
        <w:rPr>
          <w:b/>
          <w:bCs/>
          <w:sz w:val="24"/>
          <w:szCs w:val="24"/>
        </w:rPr>
        <w:t xml:space="preserve"> 6 - </w:t>
      </w:r>
      <w:proofErr w:type="spellStart"/>
      <w:r w:rsidR="00AB7DBB" w:rsidRPr="00AB7DBB">
        <w:rPr>
          <w:b/>
          <w:bCs/>
          <w:sz w:val="24"/>
          <w:szCs w:val="24"/>
        </w:rPr>
        <w:t>Decolonizar</w:t>
      </w:r>
      <w:proofErr w:type="spellEnd"/>
      <w:r w:rsidR="00AB7DBB" w:rsidRPr="00AB7DBB">
        <w:rPr>
          <w:b/>
          <w:bCs/>
          <w:sz w:val="24"/>
          <w:szCs w:val="24"/>
        </w:rPr>
        <w:t xml:space="preserve"> as infâncias: as vozes das crianças como perspectivas outras</w:t>
      </w:r>
    </w:p>
    <w:p w14:paraId="79882594" w14:textId="77777777" w:rsidR="005A11C5" w:rsidRDefault="005A11C5">
      <w:pPr>
        <w:keepLines/>
        <w:widowControl w:val="0"/>
        <w:spacing w:line="240" w:lineRule="auto"/>
        <w:rPr>
          <w:sz w:val="24"/>
          <w:szCs w:val="24"/>
        </w:rPr>
      </w:pPr>
    </w:p>
    <w:p w14:paraId="42B7A4CD" w14:textId="77777777" w:rsidR="00AB7DBB" w:rsidRDefault="00AB7DB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756291F" w14:textId="25DC0B45" w:rsidR="00AB7DBB" w:rsidRPr="00AB7DBB" w:rsidRDefault="00000000" w:rsidP="00AB7DB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B7DBB">
        <w:rPr>
          <w:b/>
          <w:bCs/>
          <w:sz w:val="24"/>
          <w:szCs w:val="24"/>
        </w:rPr>
        <w:t xml:space="preserve"> </w:t>
      </w:r>
      <w:r w:rsidR="00AB7DBB" w:rsidRPr="00AB7DBB">
        <w:rPr>
          <w:b/>
          <w:bCs/>
          <w:sz w:val="24"/>
          <w:szCs w:val="24"/>
        </w:rPr>
        <w:t xml:space="preserve">A </w:t>
      </w:r>
      <w:r w:rsidR="00AB7DBB" w:rsidRPr="00AB7DBB">
        <w:rPr>
          <w:b/>
          <w:bCs/>
          <w:sz w:val="24"/>
          <w:szCs w:val="24"/>
        </w:rPr>
        <w:t>(</w:t>
      </w:r>
      <w:proofErr w:type="spellStart"/>
      <w:r w:rsidR="00AB7DBB" w:rsidRPr="00AB7DBB">
        <w:rPr>
          <w:b/>
          <w:bCs/>
          <w:sz w:val="24"/>
          <w:szCs w:val="24"/>
        </w:rPr>
        <w:t>re</w:t>
      </w:r>
      <w:proofErr w:type="spellEnd"/>
      <w:r w:rsidR="00AB7DBB" w:rsidRPr="00AB7DBB">
        <w:rPr>
          <w:b/>
          <w:bCs/>
          <w:sz w:val="24"/>
          <w:szCs w:val="24"/>
        </w:rPr>
        <w:t>)construção da autoestima entre crianças negras no contexto escolar</w:t>
      </w:r>
    </w:p>
    <w:p w14:paraId="4627097D" w14:textId="77777777" w:rsidR="005A11C5" w:rsidRDefault="005A11C5">
      <w:pPr>
        <w:keepLines/>
        <w:widowControl w:val="0"/>
        <w:spacing w:line="240" w:lineRule="auto"/>
        <w:rPr>
          <w:sz w:val="24"/>
          <w:szCs w:val="24"/>
        </w:rPr>
      </w:pPr>
    </w:p>
    <w:p w14:paraId="35C03053" w14:textId="77777777" w:rsidR="00AB7DBB" w:rsidRDefault="00AB7DBB">
      <w:pPr>
        <w:keepLines/>
        <w:widowControl w:val="0"/>
        <w:spacing w:line="240" w:lineRule="auto"/>
        <w:rPr>
          <w:sz w:val="24"/>
          <w:szCs w:val="24"/>
        </w:rPr>
      </w:pPr>
    </w:p>
    <w:p w14:paraId="62A3E543" w14:textId="77777777" w:rsidR="005A11C5" w:rsidRDefault="005A11C5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449F27E9" w14:textId="5AB55A7B" w:rsidR="005A11C5" w:rsidRDefault="00AB7DBB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Erica Sabrina Garcez</w:t>
      </w:r>
      <w:r w:rsidR="00000000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de Brasília</w:t>
      </w:r>
      <w:r w:rsidR="00000000">
        <w:rPr>
          <w:sz w:val="24"/>
          <w:szCs w:val="24"/>
        </w:rPr>
        <w:t xml:space="preserve">, </w:t>
      </w:r>
      <w:r>
        <w:rPr>
          <w:sz w:val="24"/>
          <w:szCs w:val="24"/>
        </w:rPr>
        <w:t>ericasabrina0203@gmail.com</w:t>
      </w:r>
    </w:p>
    <w:p w14:paraId="7F51AF32" w14:textId="77777777" w:rsidR="005A11C5" w:rsidRDefault="005A11C5">
      <w:pPr>
        <w:keepLines/>
        <w:widowControl w:val="0"/>
        <w:spacing w:line="240" w:lineRule="auto"/>
        <w:rPr>
          <w:sz w:val="24"/>
          <w:szCs w:val="24"/>
        </w:rPr>
      </w:pPr>
    </w:p>
    <w:p w14:paraId="1C996AEC" w14:textId="77777777" w:rsidR="00AB7DBB" w:rsidRDefault="00AB7DBB">
      <w:pPr>
        <w:keepLines/>
        <w:widowControl w:val="0"/>
        <w:spacing w:line="240" w:lineRule="auto"/>
        <w:rPr>
          <w:sz w:val="24"/>
          <w:szCs w:val="24"/>
        </w:rPr>
      </w:pPr>
    </w:p>
    <w:p w14:paraId="7BBB2059" w14:textId="77777777" w:rsidR="005A11C5" w:rsidRDefault="005A11C5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4D4FB07" w14:textId="77777777" w:rsidR="005A11C5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9AF2FC3" w14:textId="77777777" w:rsidR="005A11C5" w:rsidRDefault="005A11C5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771B3D58" w14:textId="77777777" w:rsidR="005F0297" w:rsidRPr="005F0297" w:rsidRDefault="005F0297" w:rsidP="005F02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F0297">
        <w:rPr>
          <w:sz w:val="24"/>
          <w:szCs w:val="24"/>
        </w:rPr>
        <w:t>O ambiente escolar, para algumas crianças, pode se tornar desafiador de diversas maneiras. As desigualdades que atravessam os indivíduos repercutem diretamente em suas vivências escolares, envolvendo aspectos emocionais, psicológicos e socioeconômicos. Embora essas dificuldades possam afetar todas as crianças, o presente estudo volta-se especificamente para as crianças negras, grupo historicamente marginalizado.</w:t>
      </w:r>
    </w:p>
    <w:p w14:paraId="10017DE4" w14:textId="7EAAFC98" w:rsidR="005A11C5" w:rsidRDefault="005F02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F0297">
        <w:rPr>
          <w:sz w:val="24"/>
          <w:szCs w:val="24"/>
        </w:rPr>
        <w:t>Nesse contexto, Ferreira e Camargo (2011) propõem que há uma correlação entre a autoestima infantil e as representações sociais às quais a criança é exposta ao longo de seu desenvolvimento. Quando os conteúdos simbólicos disponíveis, sejam eles midiáticos, escolares ou culturais, apresentam a cultura negra de forma estereotipada ou invisibilizada, a criança tende a internalizar essas imagens como reflexo de si mesma. Dessa forma, a ausência de representatividade não apenas empobrece o repertório cultural da escola, mas também influencia a construção da autoimagem e da autoestima das crianças negras.</w:t>
      </w:r>
    </w:p>
    <w:p w14:paraId="24475398" w14:textId="4C497AE3" w:rsidR="005A11C5" w:rsidRDefault="005F0297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5F0297">
        <w:rPr>
          <w:sz w:val="24"/>
          <w:szCs w:val="24"/>
        </w:rPr>
        <w:t>Em contrapartida, ao ampliar o contato com diferentes culturas, histórias e trajetórias, a escola contribui para a desconstrução de estereótipos e para a construção de formas mais plurais de compreender a população negra. Conforme descreve Cavalleiro (2000), esse movimento permite que o ambiente escolar deixe de reproduzir o silêncio institucional diante das questões raciais e se constitua como um espaço de acolhimento e valorização da diversidade</w:t>
      </w:r>
      <w:r>
        <w:rPr>
          <w:sz w:val="24"/>
          <w:szCs w:val="24"/>
        </w:rPr>
        <w:t xml:space="preserve"> </w:t>
      </w:r>
    </w:p>
    <w:p w14:paraId="5F5EB7CC" w14:textId="52DD5608" w:rsidR="005A11C5" w:rsidRDefault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lastRenderedPageBreak/>
        <w:t>Com base nesses apontamentos, o presente estudo teve como objetivo compreender como a escola participa da (</w:t>
      </w:r>
      <w:proofErr w:type="spellStart"/>
      <w:r w:rsidRPr="00220B2A">
        <w:rPr>
          <w:sz w:val="24"/>
          <w:szCs w:val="24"/>
        </w:rPr>
        <w:t>des</w:t>
      </w:r>
      <w:proofErr w:type="spellEnd"/>
      <w:r w:rsidRPr="00220B2A">
        <w:rPr>
          <w:sz w:val="24"/>
          <w:szCs w:val="24"/>
        </w:rPr>
        <w:t>)construção da autoestima das crianças negras, analisando de que maneira suas práticas podem contribuir para afirmar ou negar sua identidade.</w:t>
      </w:r>
    </w:p>
    <w:p w14:paraId="4FBDF52F" w14:textId="4E60635D" w:rsidR="005A11C5" w:rsidRDefault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 xml:space="preserve">Para compreender como a escola participa do fortalecimento ou da fragilização da autoestima das crianças negras, foi realizada uma pesquisa qualitativa, de caráter descritivo-exploratório, integrada ao projeto nacional </w:t>
      </w:r>
      <w:r w:rsidRPr="00220B2A">
        <w:rPr>
          <w:i/>
          <w:iCs/>
          <w:sz w:val="24"/>
          <w:szCs w:val="24"/>
        </w:rPr>
        <w:t>Educando para o Antirracismo</w:t>
      </w:r>
      <w:r w:rsidRPr="00220B2A">
        <w:rPr>
          <w:sz w:val="24"/>
          <w:szCs w:val="24"/>
        </w:rPr>
        <w:t>, cujo objetivo é mapear práticas de educação antirracista, analisar experiências exitosas e promover ações de formação continuada para profissionais da educação.</w:t>
      </w:r>
      <w:r w:rsidR="00000000">
        <w:rPr>
          <w:sz w:val="24"/>
          <w:szCs w:val="24"/>
        </w:rPr>
        <w:t xml:space="preserve"> </w:t>
      </w:r>
    </w:p>
    <w:p w14:paraId="4573F161" w14:textId="4D80FC43" w:rsidR="005A11C5" w:rsidRDefault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>A pesquisa teve como lócus a Escola Classe Beija-Flor, instituição que desenvolve projetos voltados à valorização das culturas negra e indígena e integra o referido projeto. Como procedimento de coleta de dados, foi utilizada a observação participante, fundamentada no entendimento de que não é possível compreender a prática pedagógica de forma plena sem a observação direta do cotidiano escolar. Conforme afirma Cavalleiro (2000, p. 6), "também não basta perguntar ao professor como ele concebe o seu relacionamento com as crianças. É necessário vê-lo na sua prática profissional, no seu dia a dia"</w:t>
      </w:r>
      <w:r>
        <w:rPr>
          <w:sz w:val="24"/>
          <w:szCs w:val="24"/>
        </w:rPr>
        <w:t>.</w:t>
      </w:r>
      <w:r w:rsidR="00000000">
        <w:rPr>
          <w:sz w:val="24"/>
          <w:szCs w:val="24"/>
        </w:rPr>
        <w:t xml:space="preserve"> </w:t>
      </w:r>
    </w:p>
    <w:p w14:paraId="3C0AD42D" w14:textId="77777777" w:rsidR="00220B2A" w:rsidRPr="00220B2A" w:rsidRDefault="00220B2A" w:rsidP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>As observações foram registradas em diário de campo, permitindo documentar as práticas pedagógicas, as interações entre professores e alunos e as situações relevantes para a compreensão do fenômeno investigado.</w:t>
      </w:r>
    </w:p>
    <w:p w14:paraId="55C04A68" w14:textId="77777777" w:rsidR="00220B2A" w:rsidRPr="00220B2A" w:rsidRDefault="00220B2A" w:rsidP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>As observações realizadas evidenciaram que a Escola Classe Beija-Flor desenvolve ações voltadas à valorização da cultura afro-brasileira de forma contínua. Foram identificadas referências negras no ambiente escolar, como bonecas, fadas, objetos da cultura africana e atividades pedagógicas que abordavam personalidades como Wangari Maathai, Dandara e Zumbi dos Palmares, além de músicas, brincadeiras e manifestações culturais de origem africana.</w:t>
      </w:r>
    </w:p>
    <w:p w14:paraId="084FF57F" w14:textId="77777777" w:rsidR="00220B2A" w:rsidRDefault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>Essas iniciativas dialogam com Gomes (2012), ao demonstrarem um esforço em romper com a centralidade eurocêntrica do currículo e promover a valorização de diferentes saberes e culturas. Nesse sentido, a escola não restringe o trabalho com as relações étnico-raciais a datas comemorativas, mas o incorpora ao cotidiano escolar, favorecendo que as crianças tenham contato com referências negras positivas e ampliem suas possibilidades de identificação.</w:t>
      </w:r>
    </w:p>
    <w:p w14:paraId="5593E546" w14:textId="77777777" w:rsidR="00220B2A" w:rsidRPr="00220B2A" w:rsidRDefault="00220B2A" w:rsidP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lastRenderedPageBreak/>
        <w:t>Também foram observadas as interações entre professores e alunos diante de situações de conflito. Em um dos episódios, uma criança dirigiu ao colega a expressão "cabelo lambido", sendo imediatamente orientada pela professora, que afirmou: "Aqui nós não fazemos isso". Diferentemente do silêncio institucional descrito por Cavalleiro (2000), a intervenção ocorreu de forma imediata, sinalizando que comentários depreciativos não seriam aceitos naquele ambiente e contribuindo para a construção de relações mais respeitosas.</w:t>
      </w:r>
    </w:p>
    <w:p w14:paraId="0E1EA7E9" w14:textId="562F06FF" w:rsidR="005A11C5" w:rsidRDefault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>Nas relações entre os estudantes, observou-se um clima de cooperação mais evidente nas turmas do 4º ano, enquanto no 2º ano ocorreram episódios de ofensas e conflitos entre as crianças. Durante as observações, também foi acompanhado um aluno, identificado pelo nome fictício João, que apresentava maior dificuldade de convivência e histórico de conflitos. Entretanto, não foram identificadas práticas que o reduzissem a estereótipos relacionados à sua condição racial. Ao contrário, a professora buscava acolhê-lo, oferecendo orientações individualizadas e procurando compreender suas dificuldades, ainda que, em alguns momentos, demonstrasse certa flexibilização diante de seus comportamentos.</w:t>
      </w:r>
    </w:p>
    <w:p w14:paraId="49C20B94" w14:textId="77777777" w:rsidR="00220B2A" w:rsidRPr="00220B2A" w:rsidRDefault="00220B2A" w:rsidP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t>As conversas informais com a diretora reforçaram esse compromisso institucional. Entre os projetos apresentados destacam-se a Caminhada da Paz e uma iniciativa de arrecadação de recursos para ampliar o acesso de estudantes a avaliações psicológicas. Ao comentar essa realidade, a diretora afirmou que "pobre e preto não tem direito a saber o que tem", evidenciando sua percepção sobre as desigualdades sociais e raciais presentes no acesso aos serviços de saúde. Outro aspecto enfatizado foi a importância do acolhimento das crianças negras. Segundo ela, essas crianças "têm que ser abraçadas para se sentirem pertencentes àquele espaço também". Essa compreensão aproxima-se da perspectiva de Rogers (2017), ao indicar que ambientes marcados pela aceitação e pelo acolhimento favorecem o desenvolvimento da autoestima, e dialoga com Maslow (1970), ao contemplar as necessidades de pertencimento e estima.</w:t>
      </w:r>
    </w:p>
    <w:p w14:paraId="28C74786" w14:textId="77777777" w:rsidR="00220B2A" w:rsidRPr="00220B2A" w:rsidRDefault="00220B2A" w:rsidP="00220B2A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220B2A">
        <w:rPr>
          <w:sz w:val="24"/>
          <w:szCs w:val="24"/>
        </w:rPr>
        <w:lastRenderedPageBreak/>
        <w:t>De modo geral, as observações evidenciaram que a valorização da cultura afro-brasileira, as intervenções diante de situações de desrespeito e as ações voltadas ao acolhimento constituem estratégias que favorecem o sentimento de pertencimento e a construção de uma autoimagem positiva das crianças negras. Embora os resultados estejam circunscritos ao contexto investigado, eles reforçam o potencial da escola como espaço de enfrentamento ao racismo e de promoção da autoestima. </w:t>
      </w:r>
    </w:p>
    <w:p w14:paraId="170251F2" w14:textId="77777777" w:rsidR="005A11C5" w:rsidRDefault="005A11C5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4F0E7BB1" w14:textId="77777777" w:rsidR="005A11C5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4731A8D" w14:textId="29886113" w:rsidR="00E11295" w:rsidRPr="00E11295" w:rsidRDefault="00E11295" w:rsidP="00E11295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E11295">
        <w:rPr>
          <w:sz w:val="24"/>
          <w:szCs w:val="24"/>
        </w:rPr>
        <w:t>Autoestima; Crianças negras; Relações étnico-raciais; Educação antirracista; Escola.</w:t>
      </w:r>
    </w:p>
    <w:p w14:paraId="5A65D762" w14:textId="77777777" w:rsidR="005A11C5" w:rsidRDefault="005A11C5">
      <w:pPr>
        <w:keepLines/>
        <w:widowControl w:val="0"/>
        <w:spacing w:line="240" w:lineRule="auto"/>
        <w:rPr>
          <w:sz w:val="24"/>
          <w:szCs w:val="24"/>
        </w:rPr>
      </w:pPr>
    </w:p>
    <w:p w14:paraId="1004C09E" w14:textId="77777777" w:rsidR="005A11C5" w:rsidRDefault="005A11C5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15E2419" w14:textId="77777777" w:rsidR="005A11C5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39B9D7D" w14:textId="77777777" w:rsidR="005A11C5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(Listar, seguindo as normas da </w:t>
      </w:r>
      <w:proofErr w:type="spellStart"/>
      <w:r>
        <w:rPr>
          <w:sz w:val="24"/>
          <w:szCs w:val="24"/>
        </w:rPr>
        <w:t>abnt</w:t>
      </w:r>
      <w:proofErr w:type="spellEnd"/>
      <w:r>
        <w:rPr>
          <w:sz w:val="24"/>
          <w:szCs w:val="24"/>
        </w:rPr>
        <w:t>, todas as fontes citadas no texto)</w:t>
      </w:r>
    </w:p>
    <w:p w14:paraId="19FDB85C" w14:textId="77777777" w:rsidR="005F0297" w:rsidRDefault="005F0297">
      <w:pPr>
        <w:keepLines/>
        <w:widowControl w:val="0"/>
        <w:spacing w:line="240" w:lineRule="auto"/>
        <w:rPr>
          <w:sz w:val="24"/>
          <w:szCs w:val="24"/>
        </w:rPr>
      </w:pPr>
    </w:p>
    <w:p w14:paraId="682A30F7" w14:textId="77777777" w:rsidR="005F0297" w:rsidRDefault="005F0297" w:rsidP="005F0297">
      <w:pPr>
        <w:keepLines/>
        <w:widowControl w:val="0"/>
        <w:spacing w:line="240" w:lineRule="auto"/>
        <w:rPr>
          <w:sz w:val="24"/>
          <w:szCs w:val="24"/>
        </w:rPr>
      </w:pPr>
      <w:r w:rsidRPr="005F0297">
        <w:rPr>
          <w:sz w:val="24"/>
          <w:szCs w:val="24"/>
        </w:rPr>
        <w:t xml:space="preserve">CAVALLEIRO, Eliane. </w:t>
      </w:r>
      <w:r w:rsidRPr="005F0297">
        <w:rPr>
          <w:i/>
          <w:iCs/>
          <w:sz w:val="24"/>
          <w:szCs w:val="24"/>
        </w:rPr>
        <w:t>Do silêncio do lar ao silêncio escolar: racismo, preconceito e discriminação na educação infantil</w:t>
      </w:r>
      <w:r w:rsidRPr="005F0297">
        <w:rPr>
          <w:sz w:val="24"/>
          <w:szCs w:val="24"/>
        </w:rPr>
        <w:t>. 6. ed. São Paulo: Contexto, 2000.</w:t>
      </w:r>
    </w:p>
    <w:p w14:paraId="7D9DA616" w14:textId="77777777" w:rsidR="005F0297" w:rsidRDefault="005F0297" w:rsidP="005F0297">
      <w:pPr>
        <w:keepLines/>
        <w:widowControl w:val="0"/>
        <w:spacing w:line="240" w:lineRule="auto"/>
        <w:rPr>
          <w:sz w:val="24"/>
          <w:szCs w:val="24"/>
        </w:rPr>
      </w:pPr>
    </w:p>
    <w:p w14:paraId="04555598" w14:textId="77777777" w:rsidR="005F0297" w:rsidRPr="005F0297" w:rsidRDefault="005F0297" w:rsidP="005F0297">
      <w:pPr>
        <w:keepLines/>
        <w:widowControl w:val="0"/>
        <w:spacing w:line="240" w:lineRule="auto"/>
        <w:rPr>
          <w:sz w:val="24"/>
          <w:szCs w:val="24"/>
        </w:rPr>
      </w:pPr>
      <w:r w:rsidRPr="005F0297">
        <w:rPr>
          <w:sz w:val="24"/>
          <w:szCs w:val="24"/>
        </w:rPr>
        <w:t xml:space="preserve">FERREIRA, Ricardo Franklin; CAMARGO, Amilton Carlos. As relações cotidianas e a construção da identidade negra. </w:t>
      </w:r>
      <w:r w:rsidRPr="005F0297">
        <w:rPr>
          <w:i/>
          <w:iCs/>
          <w:sz w:val="24"/>
          <w:szCs w:val="24"/>
        </w:rPr>
        <w:t>Psicologia: Ciência e Profissão</w:t>
      </w:r>
      <w:r w:rsidRPr="005F0297">
        <w:rPr>
          <w:sz w:val="24"/>
          <w:szCs w:val="24"/>
        </w:rPr>
        <w:t>, Brasília, v. 31, n. 2, p. 290-305, abr./jun. 2011. DOI: 10.1590/S1414-98932011000200013. Acesso em: 2 jun. 2025.</w:t>
      </w:r>
    </w:p>
    <w:p w14:paraId="45BCC824" w14:textId="77777777" w:rsidR="005F0297" w:rsidRDefault="005F0297">
      <w:pPr>
        <w:keepLines/>
        <w:widowControl w:val="0"/>
        <w:spacing w:line="240" w:lineRule="auto"/>
        <w:rPr>
          <w:sz w:val="24"/>
          <w:szCs w:val="24"/>
        </w:rPr>
      </w:pPr>
    </w:p>
    <w:p w14:paraId="73F5860B" w14:textId="23E28E03" w:rsidR="005A11C5" w:rsidRDefault="005F0297" w:rsidP="005F0297">
      <w:pPr>
        <w:keepLines/>
        <w:widowControl w:val="0"/>
        <w:spacing w:line="240" w:lineRule="auto"/>
        <w:rPr>
          <w:sz w:val="24"/>
          <w:szCs w:val="24"/>
        </w:rPr>
      </w:pPr>
      <w:r w:rsidRPr="005F0297">
        <w:rPr>
          <w:sz w:val="24"/>
          <w:szCs w:val="24"/>
        </w:rPr>
        <w:t xml:space="preserve">GOMES, Nilma Lino. Relações étnico-raciais, educação e descolonização dos currículos. </w:t>
      </w:r>
      <w:r w:rsidRPr="005F0297">
        <w:rPr>
          <w:i/>
          <w:iCs/>
          <w:sz w:val="24"/>
          <w:szCs w:val="24"/>
        </w:rPr>
        <w:t>Currículo sem Fronteiras</w:t>
      </w:r>
      <w:r w:rsidRPr="005F0297">
        <w:rPr>
          <w:sz w:val="24"/>
          <w:szCs w:val="24"/>
        </w:rPr>
        <w:t>, v. 12, n. 1, p. 98-109, jan./abr. 2012. Disponível em:</w:t>
      </w:r>
      <w:hyperlink r:id="rId7" w:history="1">
        <w:r w:rsidRPr="005F0297">
          <w:rPr>
            <w:rStyle w:val="Hyperlink"/>
            <w:sz w:val="24"/>
            <w:szCs w:val="24"/>
          </w:rPr>
          <w:t xml:space="preserve"> http://www.curriculosemfronteiras.org/</w:t>
        </w:r>
      </w:hyperlink>
      <w:r w:rsidRPr="005F0297">
        <w:rPr>
          <w:sz w:val="24"/>
          <w:szCs w:val="24"/>
        </w:rPr>
        <w:t>. Acesso em: 2 jun. 2025.</w:t>
      </w:r>
    </w:p>
    <w:p w14:paraId="7D96037E" w14:textId="77777777" w:rsidR="005F0297" w:rsidRPr="005F0297" w:rsidRDefault="005F0297" w:rsidP="005F0297">
      <w:pPr>
        <w:keepLines/>
        <w:widowControl w:val="0"/>
        <w:spacing w:line="240" w:lineRule="auto"/>
        <w:rPr>
          <w:sz w:val="24"/>
          <w:szCs w:val="24"/>
        </w:rPr>
      </w:pPr>
    </w:p>
    <w:p w14:paraId="66393469" w14:textId="77777777" w:rsidR="005F0297" w:rsidRPr="005F0297" w:rsidRDefault="00E11295" w:rsidP="00E11295">
      <w:pPr>
        <w:spacing w:after="200" w:line="240" w:lineRule="auto"/>
        <w:jc w:val="both"/>
        <w:rPr>
          <w:sz w:val="24"/>
          <w:szCs w:val="24"/>
          <w:lang w:val="en-US"/>
        </w:rPr>
      </w:pPr>
      <w:r w:rsidRPr="005F0297">
        <w:rPr>
          <w:sz w:val="24"/>
          <w:szCs w:val="24"/>
        </w:rPr>
        <w:t xml:space="preserve">MASLOW, Abraham H. </w:t>
      </w:r>
      <w:r w:rsidRPr="005F0297">
        <w:rPr>
          <w:i/>
          <w:iCs/>
          <w:sz w:val="24"/>
          <w:szCs w:val="24"/>
        </w:rPr>
        <w:t>Motivação e personalidade</w:t>
      </w:r>
      <w:r w:rsidRPr="005F0297">
        <w:rPr>
          <w:sz w:val="24"/>
          <w:szCs w:val="24"/>
        </w:rPr>
        <w:t xml:space="preserve">. Tradução de Orlando Nogueira. 2. ed. </w:t>
      </w:r>
      <w:r w:rsidRPr="005F0297">
        <w:rPr>
          <w:sz w:val="24"/>
          <w:szCs w:val="24"/>
          <w:lang w:val="en-US"/>
        </w:rPr>
        <w:t>New York: Harper &amp; Row, 1970.</w:t>
      </w:r>
    </w:p>
    <w:p w14:paraId="01A43B33" w14:textId="49553E05" w:rsidR="00E11295" w:rsidRPr="005F0297" w:rsidRDefault="00E11295" w:rsidP="00E11295">
      <w:pPr>
        <w:spacing w:after="200" w:line="240" w:lineRule="auto"/>
        <w:jc w:val="both"/>
        <w:rPr>
          <w:sz w:val="24"/>
          <w:szCs w:val="24"/>
        </w:rPr>
      </w:pPr>
      <w:r w:rsidRPr="005F0297">
        <w:rPr>
          <w:sz w:val="24"/>
          <w:szCs w:val="24"/>
          <w:lang w:val="en-US"/>
        </w:rPr>
        <w:t xml:space="preserve">ROGERS, Carl R. </w:t>
      </w:r>
      <w:proofErr w:type="spellStart"/>
      <w:r w:rsidRPr="005F0297">
        <w:rPr>
          <w:i/>
          <w:iCs/>
          <w:sz w:val="24"/>
          <w:szCs w:val="24"/>
          <w:lang w:val="en-US"/>
        </w:rPr>
        <w:t>Tornar</w:t>
      </w:r>
      <w:proofErr w:type="spellEnd"/>
      <w:r w:rsidRPr="005F0297">
        <w:rPr>
          <w:i/>
          <w:iCs/>
          <w:sz w:val="24"/>
          <w:szCs w:val="24"/>
          <w:lang w:val="en-US"/>
        </w:rPr>
        <w:t xml:space="preserve">-se </w:t>
      </w:r>
      <w:proofErr w:type="spellStart"/>
      <w:r w:rsidRPr="005F0297">
        <w:rPr>
          <w:i/>
          <w:iCs/>
          <w:sz w:val="24"/>
          <w:szCs w:val="24"/>
          <w:lang w:val="en-US"/>
        </w:rPr>
        <w:t>pessoa</w:t>
      </w:r>
      <w:proofErr w:type="spellEnd"/>
      <w:r w:rsidRPr="005F0297">
        <w:rPr>
          <w:sz w:val="24"/>
          <w:szCs w:val="24"/>
          <w:lang w:val="en-US"/>
        </w:rPr>
        <w:t xml:space="preserve">. </w:t>
      </w:r>
      <w:r w:rsidRPr="005F0297">
        <w:rPr>
          <w:sz w:val="24"/>
          <w:szCs w:val="24"/>
        </w:rPr>
        <w:t>Tradução de Paulo César de Souza. São Paulo: Martins Fontes, 2017.</w:t>
      </w:r>
    </w:p>
    <w:p w14:paraId="2D2458B2" w14:textId="77777777" w:rsidR="005A11C5" w:rsidRDefault="005A11C5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5A11C5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FC67" w14:textId="77777777" w:rsidR="004556F5" w:rsidRDefault="004556F5">
      <w:pPr>
        <w:spacing w:line="240" w:lineRule="auto"/>
      </w:pPr>
      <w:r>
        <w:separator/>
      </w:r>
    </w:p>
  </w:endnote>
  <w:endnote w:type="continuationSeparator" w:id="0">
    <w:p w14:paraId="1D211BF0" w14:textId="77777777" w:rsidR="004556F5" w:rsidRDefault="004556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53CF742-5093-4416-9AF9-116C512705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BFC200-B959-4B21-BCF0-7AF4EA1745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C19B" w14:textId="77777777" w:rsidR="005A11C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B7DB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22BF6" w14:textId="77777777" w:rsidR="005A11C5" w:rsidRDefault="005A11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D55A0" w14:textId="77777777" w:rsidR="004556F5" w:rsidRDefault="004556F5">
      <w:pPr>
        <w:spacing w:line="240" w:lineRule="auto"/>
      </w:pPr>
      <w:r>
        <w:separator/>
      </w:r>
    </w:p>
  </w:footnote>
  <w:footnote w:type="continuationSeparator" w:id="0">
    <w:p w14:paraId="1C8A239F" w14:textId="77777777" w:rsidR="004556F5" w:rsidRDefault="004556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E22E" w14:textId="77777777" w:rsidR="005A11C5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8940D31" wp14:editId="22CAE6E5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D08ADB7" wp14:editId="30FD2D1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D8EDD5" w14:textId="77777777" w:rsidR="005A11C5" w:rsidRDefault="005A11C5">
    <w:pPr>
      <w:jc w:val="right"/>
    </w:pPr>
  </w:p>
  <w:p w14:paraId="3028C62B" w14:textId="77777777" w:rsidR="005A11C5" w:rsidRDefault="005A11C5">
    <w:pPr>
      <w:jc w:val="right"/>
    </w:pPr>
  </w:p>
  <w:p w14:paraId="27472588" w14:textId="77777777" w:rsidR="005A11C5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BB846A9" wp14:editId="677BCA23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C9C0" w14:textId="77777777" w:rsidR="005A11C5" w:rsidRDefault="005A11C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1C5"/>
    <w:rsid w:val="00220B2A"/>
    <w:rsid w:val="004556F5"/>
    <w:rsid w:val="005A11C5"/>
    <w:rsid w:val="005F0297"/>
    <w:rsid w:val="00AB7DBB"/>
    <w:rsid w:val="00C56B22"/>
    <w:rsid w:val="00E1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28A68"/>
  <w15:docId w15:val="{2F6FBA1B-63CF-4E93-AD05-C4AAEC0F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AB7DBB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F029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F02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curriculosemfronteiras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71A59-2C4E-4034-94E9-B59FA846D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1077</Words>
  <Characters>6662</Characters>
  <Application>Microsoft Office Word</Application>
  <DocSecurity>0</DocSecurity>
  <Lines>124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erican S2</cp:lastModifiedBy>
  <cp:revision>6</cp:revision>
  <dcterms:created xsi:type="dcterms:W3CDTF">2026-07-28T17:10:00Z</dcterms:created>
  <dcterms:modified xsi:type="dcterms:W3CDTF">2026-07-28T17:44:00Z</dcterms:modified>
</cp:coreProperties>
</file>