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8EEC9" w14:textId="54A5E0B5" w:rsidR="000C3F40" w:rsidRPr="000C3F40" w:rsidRDefault="000C3F40" w:rsidP="000C3F40">
      <w:pPr>
        <w:keepLines/>
        <w:widowControl w:val="0"/>
        <w:spacing w:line="240" w:lineRule="auto"/>
        <w:jc w:val="center"/>
        <w:rPr>
          <w:b/>
          <w:bCs/>
          <w:sz w:val="24"/>
          <w:szCs w:val="24"/>
        </w:rPr>
      </w:pPr>
      <w:r w:rsidRPr="000C3F40">
        <w:rPr>
          <w:b/>
          <w:bCs/>
          <w:sz w:val="24"/>
          <w:szCs w:val="24"/>
        </w:rPr>
        <w:t>GÊNERO, RAÇA E SEXUALIDADE NA EDUCAÇÃO:</w:t>
      </w:r>
    </w:p>
    <w:p w14:paraId="68C822F5" w14:textId="70D681C3" w:rsidR="000C3F40" w:rsidRDefault="000C3F40" w:rsidP="000C3F40">
      <w:pPr>
        <w:keepLines/>
        <w:widowControl w:val="0"/>
        <w:spacing w:line="240" w:lineRule="auto"/>
        <w:jc w:val="center"/>
        <w:rPr>
          <w:b/>
          <w:bCs/>
          <w:sz w:val="24"/>
          <w:szCs w:val="24"/>
        </w:rPr>
      </w:pPr>
      <w:r w:rsidRPr="000C3F40">
        <w:rPr>
          <w:b/>
          <w:bCs/>
          <w:sz w:val="24"/>
          <w:szCs w:val="24"/>
        </w:rPr>
        <w:t>INTERSECCIONALIDADES, TERRITÓRIOS DE (RE)EXISTÊNCIA E PEDAGOGIAS</w:t>
      </w:r>
      <w:r>
        <w:rPr>
          <w:b/>
          <w:bCs/>
          <w:sz w:val="24"/>
          <w:szCs w:val="24"/>
        </w:rPr>
        <w:t xml:space="preserve"> </w:t>
      </w:r>
      <w:r w:rsidRPr="000C3F40">
        <w:rPr>
          <w:b/>
          <w:bCs/>
          <w:sz w:val="24"/>
          <w:szCs w:val="24"/>
        </w:rPr>
        <w:t xml:space="preserve">DESOBEDIENTES </w:t>
      </w:r>
    </w:p>
    <w:p w14:paraId="50856828" w14:textId="7AAA63C8" w:rsidR="000379F5" w:rsidRDefault="000379F5" w:rsidP="000C3F40">
      <w:pPr>
        <w:keepLines/>
        <w:widowControl w:val="0"/>
        <w:spacing w:line="240" w:lineRule="auto"/>
        <w:jc w:val="center"/>
        <w:rPr>
          <w:sz w:val="24"/>
          <w:szCs w:val="24"/>
        </w:rPr>
      </w:pPr>
    </w:p>
    <w:p w14:paraId="0C508543" w14:textId="77777777" w:rsidR="000379F5" w:rsidRDefault="000379F5">
      <w:pPr>
        <w:keepLines/>
        <w:widowControl w:val="0"/>
        <w:spacing w:line="240" w:lineRule="auto"/>
        <w:rPr>
          <w:b/>
          <w:bCs/>
          <w:sz w:val="24"/>
          <w:szCs w:val="24"/>
        </w:rPr>
      </w:pPr>
    </w:p>
    <w:p w14:paraId="2E363373" w14:textId="67BE51F7" w:rsidR="000379F5" w:rsidRPr="00A976EA" w:rsidRDefault="002B07ED" w:rsidP="00A976EA">
      <w:pPr>
        <w:keepLines/>
        <w:widowControl w:val="0"/>
        <w:spacing w:line="240" w:lineRule="auto"/>
        <w:jc w:val="center"/>
        <w:rPr>
          <w:b/>
          <w:bCs/>
          <w:sz w:val="24"/>
          <w:szCs w:val="24"/>
        </w:rPr>
      </w:pPr>
      <w:r>
        <w:rPr>
          <w:b/>
          <w:bCs/>
          <w:sz w:val="24"/>
          <w:szCs w:val="24"/>
        </w:rPr>
        <w:t xml:space="preserve"> </w:t>
      </w:r>
      <w:r w:rsidR="000C3F40">
        <w:rPr>
          <w:b/>
          <w:bCs/>
          <w:sz w:val="24"/>
          <w:szCs w:val="24"/>
        </w:rPr>
        <w:t>C</w:t>
      </w:r>
      <w:r w:rsidR="000C3F40" w:rsidRPr="000C3F40">
        <w:rPr>
          <w:b/>
          <w:bCs/>
          <w:sz w:val="24"/>
          <w:szCs w:val="24"/>
        </w:rPr>
        <w:t xml:space="preserve">urrículo, </w:t>
      </w:r>
      <w:r w:rsidR="000C3F40">
        <w:rPr>
          <w:b/>
          <w:bCs/>
          <w:sz w:val="24"/>
          <w:szCs w:val="24"/>
        </w:rPr>
        <w:t>h</w:t>
      </w:r>
      <w:r w:rsidR="000C3F40" w:rsidRPr="000C3F40">
        <w:rPr>
          <w:b/>
          <w:bCs/>
          <w:sz w:val="24"/>
          <w:szCs w:val="24"/>
        </w:rPr>
        <w:t xml:space="preserve">ospitalidade e </w:t>
      </w:r>
      <w:r w:rsidR="000C3F40">
        <w:rPr>
          <w:b/>
          <w:bCs/>
          <w:sz w:val="24"/>
          <w:szCs w:val="24"/>
        </w:rPr>
        <w:t>i</w:t>
      </w:r>
      <w:r w:rsidR="000C3F40" w:rsidRPr="000C3F40">
        <w:rPr>
          <w:b/>
          <w:bCs/>
          <w:sz w:val="24"/>
          <w:szCs w:val="24"/>
        </w:rPr>
        <w:t xml:space="preserve">nterseccionalidade: experiências de uma introdução </w:t>
      </w:r>
      <w:r w:rsidR="000C3F40">
        <w:rPr>
          <w:b/>
          <w:bCs/>
          <w:sz w:val="24"/>
          <w:szCs w:val="24"/>
        </w:rPr>
        <w:t>à</w:t>
      </w:r>
      <w:r w:rsidR="000C3F40" w:rsidRPr="000C3F40">
        <w:rPr>
          <w:b/>
          <w:bCs/>
          <w:sz w:val="24"/>
          <w:szCs w:val="24"/>
        </w:rPr>
        <w:t xml:space="preserve"> </w:t>
      </w:r>
      <w:r w:rsidR="000C3F40">
        <w:rPr>
          <w:b/>
          <w:bCs/>
          <w:sz w:val="24"/>
          <w:szCs w:val="24"/>
        </w:rPr>
        <w:t>F</w:t>
      </w:r>
      <w:r w:rsidR="000C3F40" w:rsidRPr="000C3F40">
        <w:rPr>
          <w:b/>
          <w:bCs/>
          <w:sz w:val="24"/>
          <w:szCs w:val="24"/>
        </w:rPr>
        <w:t>oucault como prática pedagógica decolonial</w:t>
      </w:r>
    </w:p>
    <w:p w14:paraId="706081B7" w14:textId="77777777" w:rsidR="000379F5" w:rsidRDefault="000379F5">
      <w:pPr>
        <w:keepLines/>
        <w:widowControl w:val="0"/>
        <w:spacing w:line="240" w:lineRule="auto"/>
        <w:rPr>
          <w:sz w:val="24"/>
          <w:szCs w:val="24"/>
        </w:rPr>
      </w:pPr>
    </w:p>
    <w:p w14:paraId="415D3980" w14:textId="77777777" w:rsidR="000379F5" w:rsidRDefault="000379F5">
      <w:pPr>
        <w:keepLines/>
        <w:widowControl w:val="0"/>
        <w:spacing w:line="240" w:lineRule="auto"/>
        <w:jc w:val="right"/>
        <w:rPr>
          <w:sz w:val="24"/>
          <w:szCs w:val="24"/>
        </w:rPr>
      </w:pPr>
    </w:p>
    <w:p w14:paraId="3073AC42" w14:textId="4D10D599" w:rsidR="000379F5" w:rsidRDefault="00A976EA" w:rsidP="00A976EA">
      <w:pPr>
        <w:keepLines/>
        <w:widowControl w:val="0"/>
        <w:spacing w:after="20" w:line="240" w:lineRule="auto"/>
        <w:jc w:val="right"/>
        <w:rPr>
          <w:sz w:val="24"/>
          <w:szCs w:val="24"/>
        </w:rPr>
      </w:pPr>
      <w:r w:rsidRPr="00A976EA">
        <w:rPr>
          <w:sz w:val="24"/>
          <w:szCs w:val="24"/>
        </w:rPr>
        <w:t xml:space="preserve">Thiago da Silva Azevêdo Reis </w:t>
      </w:r>
      <w:r w:rsidR="002B07ED">
        <w:rPr>
          <w:sz w:val="24"/>
          <w:szCs w:val="24"/>
        </w:rPr>
        <w:t xml:space="preserve">1, </w:t>
      </w:r>
      <w:r w:rsidRPr="00A976EA">
        <w:rPr>
          <w:sz w:val="24"/>
          <w:szCs w:val="24"/>
        </w:rPr>
        <w:t>graduando em Psicologia pela Faculdade Santíssimo Sacramento – FSSS. E-mail: thiagoreis1314@gmail.com</w:t>
      </w:r>
    </w:p>
    <w:p w14:paraId="60A421C3" w14:textId="7D40AED6" w:rsidR="000379F5" w:rsidRDefault="00A976EA" w:rsidP="00A976EA">
      <w:pPr>
        <w:keepLines/>
        <w:widowControl w:val="0"/>
        <w:spacing w:after="20" w:line="240" w:lineRule="auto"/>
        <w:jc w:val="right"/>
        <w:rPr>
          <w:sz w:val="24"/>
          <w:szCs w:val="24"/>
        </w:rPr>
      </w:pPr>
      <w:r w:rsidRPr="00A976EA">
        <w:rPr>
          <w:sz w:val="24"/>
          <w:szCs w:val="24"/>
        </w:rPr>
        <w:t>Marcio Vila Flor</w:t>
      </w:r>
      <w:r w:rsidR="002B07ED">
        <w:rPr>
          <w:sz w:val="24"/>
          <w:szCs w:val="24"/>
        </w:rPr>
        <w:t xml:space="preserve"> 2, </w:t>
      </w:r>
      <w:r w:rsidRPr="00A976EA">
        <w:rPr>
          <w:sz w:val="24"/>
          <w:szCs w:val="24"/>
        </w:rPr>
        <w:t>Doutorando em Educação PPGE/UFBA/FEP e Coordenador Pedagógico da rede estadual de educação da Bahia – SEC/NTE 18; membro do Grupo sobre Formação em Exercício de Professores - FEP. E-mail</w:t>
      </w:r>
      <w:r>
        <w:rPr>
          <w:sz w:val="24"/>
          <w:szCs w:val="24"/>
        </w:rPr>
        <w:t>:</w:t>
      </w:r>
      <w:r w:rsidRPr="00A976EA">
        <w:rPr>
          <w:sz w:val="24"/>
          <w:szCs w:val="24"/>
        </w:rPr>
        <w:t xml:space="preserve"> marcio.vila@hotmail.com</w:t>
      </w:r>
    </w:p>
    <w:p w14:paraId="57201398" w14:textId="0406BCE9" w:rsidR="000379F5" w:rsidRDefault="00A976EA" w:rsidP="00A976EA">
      <w:pPr>
        <w:keepLines/>
        <w:widowControl w:val="0"/>
        <w:spacing w:after="20" w:line="240" w:lineRule="auto"/>
        <w:jc w:val="right"/>
        <w:rPr>
          <w:sz w:val="24"/>
          <w:szCs w:val="24"/>
        </w:rPr>
      </w:pPr>
      <w:r w:rsidRPr="00A976EA">
        <w:rPr>
          <w:sz w:val="24"/>
          <w:szCs w:val="24"/>
        </w:rPr>
        <w:t xml:space="preserve">Moacir Lira de Oliveira </w:t>
      </w:r>
      <w:r w:rsidR="002B07ED">
        <w:rPr>
          <w:sz w:val="24"/>
          <w:szCs w:val="24"/>
        </w:rPr>
        <w:t xml:space="preserve">3, </w:t>
      </w:r>
      <w:r w:rsidRPr="00A976EA">
        <w:rPr>
          <w:sz w:val="24"/>
          <w:szCs w:val="24"/>
        </w:rPr>
        <w:t>Doutor e Mestre em Família na Sociedade Contemporânea pela Universidade Católica do Salvador (</w:t>
      </w:r>
      <w:proofErr w:type="spellStart"/>
      <w:r w:rsidRPr="00A976EA">
        <w:rPr>
          <w:sz w:val="24"/>
          <w:szCs w:val="24"/>
        </w:rPr>
        <w:t>UCSal</w:t>
      </w:r>
      <w:proofErr w:type="spellEnd"/>
      <w:r w:rsidRPr="00A976EA">
        <w:rPr>
          <w:sz w:val="24"/>
          <w:szCs w:val="24"/>
        </w:rPr>
        <w:t>); coordenador e docente do curso de Psicologia da faculdade FSSS e</w:t>
      </w:r>
      <w:r w:rsidR="00CF3866">
        <w:rPr>
          <w:sz w:val="24"/>
          <w:szCs w:val="24"/>
        </w:rPr>
        <w:t xml:space="preserve"> docente do curso de Medicina da</w:t>
      </w:r>
      <w:r w:rsidRPr="00A976EA">
        <w:rPr>
          <w:sz w:val="24"/>
          <w:szCs w:val="24"/>
        </w:rPr>
        <w:t xml:space="preserve"> IDOMED. E-mail</w:t>
      </w:r>
      <w:r>
        <w:rPr>
          <w:sz w:val="24"/>
          <w:szCs w:val="24"/>
        </w:rPr>
        <w:t>:</w:t>
      </w:r>
      <w:r w:rsidRPr="00A976EA">
        <w:rPr>
          <w:sz w:val="24"/>
          <w:szCs w:val="24"/>
        </w:rPr>
        <w:t xml:space="preserve"> docente.moacirlira@fsssacramento.br</w:t>
      </w:r>
    </w:p>
    <w:p w14:paraId="04AF1288" w14:textId="396EEE94" w:rsidR="000379F5" w:rsidRDefault="000379F5">
      <w:pPr>
        <w:keepLines/>
        <w:widowControl w:val="0"/>
        <w:spacing w:line="360" w:lineRule="auto"/>
        <w:rPr>
          <w:sz w:val="24"/>
          <w:szCs w:val="24"/>
        </w:rPr>
      </w:pPr>
    </w:p>
    <w:p w14:paraId="6FC381F3" w14:textId="77777777" w:rsidR="00A976EA" w:rsidRDefault="00A976EA">
      <w:pPr>
        <w:keepLines/>
        <w:widowControl w:val="0"/>
        <w:spacing w:line="360" w:lineRule="auto"/>
        <w:rPr>
          <w:b/>
          <w:bCs/>
          <w:sz w:val="24"/>
          <w:szCs w:val="24"/>
        </w:rPr>
      </w:pPr>
    </w:p>
    <w:p w14:paraId="3818963C" w14:textId="7A4635D9" w:rsidR="000379F5" w:rsidRDefault="002B07ED">
      <w:pPr>
        <w:keepLines/>
        <w:widowControl w:val="0"/>
        <w:spacing w:line="360" w:lineRule="auto"/>
        <w:rPr>
          <w:b/>
          <w:bCs/>
          <w:sz w:val="24"/>
          <w:szCs w:val="24"/>
        </w:rPr>
      </w:pPr>
      <w:r>
        <w:rPr>
          <w:b/>
          <w:bCs/>
          <w:sz w:val="24"/>
          <w:szCs w:val="24"/>
        </w:rPr>
        <w:t>RESUMO</w:t>
      </w:r>
    </w:p>
    <w:p w14:paraId="6A40DFE5" w14:textId="19CB7367" w:rsidR="000C3F40" w:rsidRDefault="004E1199" w:rsidP="004E1199">
      <w:pPr>
        <w:keepLines/>
        <w:widowControl w:val="0"/>
        <w:spacing w:line="360" w:lineRule="auto"/>
        <w:jc w:val="both"/>
        <w:rPr>
          <w:sz w:val="24"/>
          <w:szCs w:val="24"/>
        </w:rPr>
      </w:pPr>
      <w:r w:rsidRPr="004E1199">
        <w:rPr>
          <w:sz w:val="24"/>
          <w:szCs w:val="24"/>
        </w:rPr>
        <w:t>O presente relato de experiência integra uma pesquisa em andamento acerca da construção do curso online "Introdução à Foucault", concebido inicialmente como iniciativa independente e posteriormente certificado pelo Colegiado de Psicologia da Faculdade Santíssimo Sacramento, com colaboração do professor Dr. Moacir Lira de Oliveira e do Me. M</w:t>
      </w:r>
      <w:r>
        <w:rPr>
          <w:sz w:val="24"/>
          <w:szCs w:val="24"/>
        </w:rPr>
        <w:t>a</w:t>
      </w:r>
      <w:r w:rsidRPr="004E1199">
        <w:rPr>
          <w:sz w:val="24"/>
          <w:szCs w:val="24"/>
        </w:rPr>
        <w:t xml:space="preserve">rcio Vila Flor. Com carga horária </w:t>
      </w:r>
      <w:r w:rsidR="00400FF0">
        <w:rPr>
          <w:sz w:val="24"/>
          <w:szCs w:val="24"/>
        </w:rPr>
        <w:t xml:space="preserve">de </w:t>
      </w:r>
      <w:r w:rsidR="002A22DF">
        <w:rPr>
          <w:sz w:val="24"/>
          <w:szCs w:val="24"/>
        </w:rPr>
        <w:t>12</w:t>
      </w:r>
      <w:r w:rsidRPr="004E1199">
        <w:rPr>
          <w:sz w:val="24"/>
          <w:szCs w:val="24"/>
        </w:rPr>
        <w:t xml:space="preserve"> horas, distribuídas em quatro encontros, o curso reuniu estudantes de diferentes áreas do conhecimento e constituiu-se como uma experiência de problematização do currículo, da docência e dos processos de formação, tomando a filosofia foucaultiana menos como um conjunto de </w:t>
      </w:r>
      <w:r w:rsidR="000C3F40">
        <w:rPr>
          <w:sz w:val="24"/>
          <w:szCs w:val="24"/>
        </w:rPr>
        <w:t>assuntos</w:t>
      </w:r>
      <w:r w:rsidRPr="004E1199">
        <w:rPr>
          <w:sz w:val="24"/>
          <w:szCs w:val="24"/>
        </w:rPr>
        <w:t xml:space="preserve"> a serem transmitidos e mais como um operador analítico capaz de produzir deslocamentos nas formas de pensar, ensinar e aprender.</w:t>
      </w:r>
    </w:p>
    <w:p w14:paraId="3C2F4DF9" w14:textId="77777777" w:rsidR="00960FE4" w:rsidRDefault="004E1199" w:rsidP="004E1199">
      <w:pPr>
        <w:keepLines/>
        <w:widowControl w:val="0"/>
        <w:spacing w:line="360" w:lineRule="auto"/>
        <w:jc w:val="both"/>
        <w:rPr>
          <w:sz w:val="24"/>
          <w:szCs w:val="24"/>
        </w:rPr>
      </w:pPr>
      <w:r w:rsidRPr="004E1199">
        <w:rPr>
          <w:sz w:val="24"/>
          <w:szCs w:val="24"/>
        </w:rPr>
        <w:t xml:space="preserve">A investigação foi desenvolvida a partir da cartografia como perspectiva teórico-metodológica, compreendida como acompanhamento dos processos, dos deslocamentos e das afetações produzidas ao longo da experiência. </w:t>
      </w:r>
      <w:r w:rsidR="00783FDA" w:rsidRPr="00783FDA">
        <w:rPr>
          <w:sz w:val="24"/>
          <w:szCs w:val="24"/>
        </w:rPr>
        <w:t xml:space="preserve">Como afirmam Passos e </w:t>
      </w:r>
      <w:proofErr w:type="spellStart"/>
      <w:r w:rsidR="00783FDA" w:rsidRPr="00783FDA">
        <w:rPr>
          <w:sz w:val="24"/>
          <w:szCs w:val="24"/>
        </w:rPr>
        <w:t>Kastrup</w:t>
      </w:r>
      <w:proofErr w:type="spellEnd"/>
      <w:r w:rsidR="00783FDA" w:rsidRPr="00783FDA">
        <w:rPr>
          <w:sz w:val="24"/>
          <w:szCs w:val="24"/>
        </w:rPr>
        <w:t xml:space="preserve"> (2013), a cartografia constitui uma modalidade de pesquisa-intervenção, pois toda produção de conhecimento implica igualmente uma transformação do campo investigado. O pesquisador não coleta dados como quem recolhe objetos prontos à espera de serem organizados posteriormente. </w:t>
      </w:r>
    </w:p>
    <w:p w14:paraId="16243F24" w14:textId="476D13AC" w:rsidR="004E1199" w:rsidRPr="004E1199" w:rsidRDefault="009C15B7" w:rsidP="004E1199">
      <w:pPr>
        <w:keepLines/>
        <w:widowControl w:val="0"/>
        <w:spacing w:line="360" w:lineRule="auto"/>
        <w:jc w:val="both"/>
        <w:rPr>
          <w:sz w:val="24"/>
          <w:szCs w:val="24"/>
        </w:rPr>
      </w:pPr>
      <w:r>
        <w:rPr>
          <w:sz w:val="24"/>
          <w:szCs w:val="24"/>
        </w:rPr>
        <w:lastRenderedPageBreak/>
        <w:t>Desse modo, o</w:t>
      </w:r>
      <w:r w:rsidR="00783FDA" w:rsidRPr="00783FDA">
        <w:rPr>
          <w:sz w:val="24"/>
          <w:szCs w:val="24"/>
        </w:rPr>
        <w:t xml:space="preserve"> conhecimento é produzido no próprio acontecimento da pesquisa. Mais do que uma coleta de dados, realiza-se uma colheita de experiências, encontros, afetos, tensões e deslocamentos que passam a compor um mapa sempre provisório das forças presentes naquele território.</w:t>
      </w:r>
      <w:r w:rsidR="00960FE4">
        <w:rPr>
          <w:sz w:val="24"/>
          <w:szCs w:val="24"/>
        </w:rPr>
        <w:t xml:space="preserve"> </w:t>
      </w:r>
      <w:r w:rsidR="004E1199" w:rsidRPr="004E1199">
        <w:rPr>
          <w:sz w:val="24"/>
          <w:szCs w:val="24"/>
        </w:rPr>
        <w:t>Nesse percurso, a hospitalidade não operou como método, mas como uma ética da pesquisa, orientando a atenção aos encontros, às diferenças e às transformações produzidas na construção do curso e na constituição do próprio pesquisador.</w:t>
      </w:r>
    </w:p>
    <w:p w14:paraId="477C59E7" w14:textId="66741DFF" w:rsidR="004E1199" w:rsidRPr="004E1199" w:rsidRDefault="004E1199" w:rsidP="004E1199">
      <w:pPr>
        <w:keepLines/>
        <w:widowControl w:val="0"/>
        <w:spacing w:line="360" w:lineRule="auto"/>
        <w:jc w:val="both"/>
        <w:rPr>
          <w:sz w:val="24"/>
          <w:szCs w:val="24"/>
        </w:rPr>
      </w:pPr>
      <w:r w:rsidRPr="004E1199">
        <w:rPr>
          <w:sz w:val="24"/>
          <w:szCs w:val="24"/>
        </w:rPr>
        <w:t xml:space="preserve">A experiência revelou que ensinar Foucault no contexto brasileiro exige mais do que apresentar conceitos relacionados ao poder, aos discursos e aos processos de subjetivação. Exige problematizar as próprias condições de produção do conhecimento e reconhecer os limites históricos de determinadas matrizes epistemológicas quando confrontadas com as desigualdades produzidas pela </w:t>
      </w:r>
      <w:proofErr w:type="spellStart"/>
      <w:r w:rsidRPr="004E1199">
        <w:rPr>
          <w:sz w:val="24"/>
          <w:szCs w:val="24"/>
        </w:rPr>
        <w:t>colonialidade</w:t>
      </w:r>
      <w:proofErr w:type="spellEnd"/>
      <w:r w:rsidRPr="004E1199">
        <w:rPr>
          <w:sz w:val="24"/>
          <w:szCs w:val="24"/>
        </w:rPr>
        <w:t xml:space="preserve">, pelo racismo, pelo sexismo e pela </w:t>
      </w:r>
      <w:proofErr w:type="spellStart"/>
      <w:r w:rsidRPr="004E1199">
        <w:rPr>
          <w:sz w:val="24"/>
          <w:szCs w:val="24"/>
        </w:rPr>
        <w:t>cisheteronormatividade</w:t>
      </w:r>
      <w:proofErr w:type="spellEnd"/>
      <w:r w:rsidRPr="004E1199">
        <w:rPr>
          <w:sz w:val="24"/>
          <w:szCs w:val="24"/>
        </w:rPr>
        <w:t xml:space="preserve">. Nessa direção, o percurso cartográfico conduziu o próprio curso a deslocar seu eixo inicial, colocando o pensamento foucaultiano em interlocução com epistemologias negras, feministas e </w:t>
      </w:r>
      <w:proofErr w:type="spellStart"/>
      <w:r w:rsidRPr="004E1199">
        <w:rPr>
          <w:sz w:val="24"/>
          <w:szCs w:val="24"/>
        </w:rPr>
        <w:t>decoloniais</w:t>
      </w:r>
      <w:proofErr w:type="spellEnd"/>
      <w:r w:rsidRPr="004E1199">
        <w:rPr>
          <w:sz w:val="24"/>
          <w:szCs w:val="24"/>
        </w:rPr>
        <w:t>. O objetivo deixou de ser apenas introduzir um autor para produzir um espaço formativo capaz de tensionar os modos pelos quais determinados saberes se consolidam como universais e determinados corpos passam a ocupar lugares privilegiados de enunciação.</w:t>
      </w:r>
    </w:p>
    <w:p w14:paraId="3416D4CB" w14:textId="77777777" w:rsidR="000C3F40" w:rsidRDefault="004E1199" w:rsidP="004E1199">
      <w:pPr>
        <w:keepLines/>
        <w:widowControl w:val="0"/>
        <w:spacing w:line="360" w:lineRule="auto"/>
        <w:jc w:val="both"/>
        <w:rPr>
          <w:sz w:val="24"/>
          <w:szCs w:val="24"/>
        </w:rPr>
      </w:pPr>
      <w:r w:rsidRPr="004E1199">
        <w:rPr>
          <w:sz w:val="24"/>
          <w:szCs w:val="24"/>
        </w:rPr>
        <w:t>A noção de hospitalidade desenvolvida por Derrida (2003) constituiu o principal eixo ético dessa experiência. Longe de representar uma simples abertura à diferença ou um gesto de acolhimento indiscriminado, a hospitalidade foi compreendida como disposição para sustentar o encontro com aquilo que escapa às categorias previamente estabilizadas, recusando a captura da alteridade por formas já conhecidas de inteligibilidade. Nessa perspectiva, a experiência pedagógica buscou construir um currículo que não antecipasse quem seriam seus sujeitos nem delimitasse previamente os modos legítimos de produzir conhecimento. A hospitalidade constituiu, portanto, uma postura ética diante da formação, comprometida com a possibilidade de que o encontro com o outro também deslocasse as certezas daquele que ensina, produzindo um d</w:t>
      </w:r>
      <w:r w:rsidR="000C3F40">
        <w:rPr>
          <w:sz w:val="24"/>
          <w:szCs w:val="24"/>
        </w:rPr>
        <w:t>iscente-docente</w:t>
      </w:r>
      <w:r w:rsidRPr="004E1199">
        <w:rPr>
          <w:sz w:val="24"/>
          <w:szCs w:val="24"/>
        </w:rPr>
        <w:t xml:space="preserve"> permanentemente abert</w:t>
      </w:r>
      <w:r w:rsidR="000C3F40">
        <w:rPr>
          <w:sz w:val="24"/>
          <w:szCs w:val="24"/>
        </w:rPr>
        <w:t>o</w:t>
      </w:r>
      <w:r w:rsidRPr="004E1199">
        <w:rPr>
          <w:sz w:val="24"/>
          <w:szCs w:val="24"/>
        </w:rPr>
        <w:t xml:space="preserve"> à transformação.</w:t>
      </w:r>
      <w:r w:rsidR="000C3F40">
        <w:rPr>
          <w:sz w:val="24"/>
          <w:szCs w:val="24"/>
        </w:rPr>
        <w:t xml:space="preserve"> </w:t>
      </w:r>
    </w:p>
    <w:p w14:paraId="31BA2215" w14:textId="32806A2C" w:rsidR="004E1199" w:rsidRPr="004E1199" w:rsidRDefault="004E1199" w:rsidP="004E1199">
      <w:pPr>
        <w:keepLines/>
        <w:widowControl w:val="0"/>
        <w:spacing w:line="360" w:lineRule="auto"/>
        <w:jc w:val="both"/>
        <w:rPr>
          <w:sz w:val="24"/>
          <w:szCs w:val="24"/>
        </w:rPr>
      </w:pPr>
      <w:r w:rsidRPr="004E1199">
        <w:rPr>
          <w:sz w:val="24"/>
          <w:szCs w:val="24"/>
        </w:rPr>
        <w:lastRenderedPageBreak/>
        <w:t xml:space="preserve">Todavia, o próprio percurso evidenciou que uma ética da hospitalidade não pode prescindir das materialidades históricas que atravessam os corpos. Reconhecer que os sujeitos não se encontram encerrados em identidades fixas não significa ignorar que eles são produzidos em relações historicamente marcadas por raça, gênero, classe, sexualidade e território. Ao contrário, tornou-se evidente que os corpos chegam aos espaços educativos ocupando posições profundamente desiguais de reconhecimento, circulação e inteligibilidade. É precisamente nesse ponto que a interseccionalidade, em Akotirene (2019), </w:t>
      </w:r>
      <w:r w:rsidR="00C53FD8">
        <w:rPr>
          <w:sz w:val="24"/>
          <w:szCs w:val="24"/>
        </w:rPr>
        <w:t>pode</w:t>
      </w:r>
      <w:r w:rsidRPr="004E1199">
        <w:rPr>
          <w:sz w:val="24"/>
          <w:szCs w:val="24"/>
        </w:rPr>
        <w:t xml:space="preserve"> operar </w:t>
      </w:r>
      <w:r w:rsidR="00C53FD8">
        <w:rPr>
          <w:sz w:val="24"/>
          <w:szCs w:val="24"/>
        </w:rPr>
        <w:t>na</w:t>
      </w:r>
      <w:r w:rsidRPr="004E1199">
        <w:rPr>
          <w:sz w:val="24"/>
          <w:szCs w:val="24"/>
        </w:rPr>
        <w:t xml:space="preserve"> constitui</w:t>
      </w:r>
      <w:r w:rsidR="00C53FD8">
        <w:rPr>
          <w:sz w:val="24"/>
          <w:szCs w:val="24"/>
        </w:rPr>
        <w:t>ção de</w:t>
      </w:r>
      <w:r w:rsidRPr="004E1199">
        <w:rPr>
          <w:sz w:val="24"/>
          <w:szCs w:val="24"/>
        </w:rPr>
        <w:t xml:space="preserve"> uma sensibilidade</w:t>
      </w:r>
      <w:r w:rsidR="007563DE">
        <w:rPr>
          <w:sz w:val="24"/>
          <w:szCs w:val="24"/>
        </w:rPr>
        <w:t xml:space="preserve"> analítica,</w:t>
      </w:r>
      <w:r w:rsidRPr="004E1199">
        <w:rPr>
          <w:sz w:val="24"/>
          <w:szCs w:val="24"/>
        </w:rPr>
        <w:t xml:space="preserve"> ética e política indispensável à própria hospitalidade. A abertura ao outro somente se sustent</w:t>
      </w:r>
      <w:r w:rsidR="000C3F40">
        <w:rPr>
          <w:sz w:val="24"/>
          <w:szCs w:val="24"/>
        </w:rPr>
        <w:t>ou</w:t>
      </w:r>
      <w:r w:rsidRPr="004E1199">
        <w:rPr>
          <w:sz w:val="24"/>
          <w:szCs w:val="24"/>
        </w:rPr>
        <w:t xml:space="preserve"> quando reconhece que essa alteridade é atravessada por condições concretas de existência e por relações históricas de poder que tornam alguns corpos continuamente mais narráveis, reconhecíveis e legitimados do que outros.</w:t>
      </w:r>
    </w:p>
    <w:p w14:paraId="7736AEED" w14:textId="7E7623DC" w:rsidR="000379F5" w:rsidRDefault="004E1199" w:rsidP="004E1199">
      <w:pPr>
        <w:keepLines/>
        <w:widowControl w:val="0"/>
        <w:spacing w:line="360" w:lineRule="auto"/>
        <w:jc w:val="both"/>
        <w:rPr>
          <w:sz w:val="24"/>
          <w:szCs w:val="24"/>
        </w:rPr>
      </w:pPr>
      <w:r w:rsidRPr="004E1199">
        <w:rPr>
          <w:sz w:val="24"/>
          <w:szCs w:val="24"/>
        </w:rPr>
        <w:t xml:space="preserve">Esse movimento não difere daquele realizado por autoras e autores que, partindo da obra foucaultiana, tensionaram seus próprios conceitos diante das experiências coloniais. Ao desenvolver o dispositivo de </w:t>
      </w:r>
      <w:proofErr w:type="spellStart"/>
      <w:r w:rsidRPr="004E1199">
        <w:rPr>
          <w:sz w:val="24"/>
          <w:szCs w:val="24"/>
        </w:rPr>
        <w:t>racialidade</w:t>
      </w:r>
      <w:proofErr w:type="spellEnd"/>
      <w:r w:rsidRPr="004E1199">
        <w:rPr>
          <w:sz w:val="24"/>
          <w:szCs w:val="24"/>
        </w:rPr>
        <w:t xml:space="preserve">, Carneiro (2005) amplia a noção foucaultiana de dispositivo para evidenciar que a produção das subjetividades brasileiras é inseparável das tecnologias de </w:t>
      </w:r>
      <w:proofErr w:type="spellStart"/>
      <w:r w:rsidRPr="004E1199">
        <w:rPr>
          <w:sz w:val="24"/>
          <w:szCs w:val="24"/>
        </w:rPr>
        <w:t>racialização</w:t>
      </w:r>
      <w:proofErr w:type="spellEnd"/>
      <w:r w:rsidRPr="004E1199">
        <w:rPr>
          <w:sz w:val="24"/>
          <w:szCs w:val="24"/>
        </w:rPr>
        <w:t xml:space="preserve"> que estruturam nossa sociedade. De maneira semelhante, Mbembe (2018) desloca a analítica da biopolítica ao demonstrar que, nos contextos coloniais, determinados corpos não apenas são administrados, mas continuamente produzidos como matáveis por meio da necropolítica. Inspirado por esses deslocamentos, o curso buscou colocar Foucault em movimento, não para corrigi-lo ou substituí-lo, mas para ampliar suas possibilidades analíticas diante dos desafios colocados pelas epistemologias negras e </w:t>
      </w:r>
      <w:proofErr w:type="spellStart"/>
      <w:r w:rsidRPr="004E1199">
        <w:rPr>
          <w:sz w:val="24"/>
          <w:szCs w:val="24"/>
        </w:rPr>
        <w:t>decoloniais</w:t>
      </w:r>
      <w:proofErr w:type="spellEnd"/>
      <w:r w:rsidRPr="004E1199">
        <w:rPr>
          <w:sz w:val="24"/>
          <w:szCs w:val="24"/>
        </w:rPr>
        <w:t xml:space="preserve"> e pelas urgências do contexto brasileiro contemporâneo.</w:t>
      </w:r>
    </w:p>
    <w:p w14:paraId="6C1D33C0" w14:textId="083BF0F7" w:rsidR="000C3F40" w:rsidRPr="000C3F40" w:rsidRDefault="000C3F40" w:rsidP="000C3F40">
      <w:pPr>
        <w:keepLines/>
        <w:widowControl w:val="0"/>
        <w:spacing w:line="360" w:lineRule="auto"/>
        <w:jc w:val="both"/>
        <w:rPr>
          <w:sz w:val="24"/>
          <w:szCs w:val="24"/>
        </w:rPr>
      </w:pPr>
      <w:r w:rsidRPr="000C3F40">
        <w:rPr>
          <w:sz w:val="24"/>
          <w:szCs w:val="24"/>
        </w:rPr>
        <w:lastRenderedPageBreak/>
        <w:t>Nesse percurso, a cartografia aproximou-se da imagem do rizoma proposta por Deleuze e Guattari (2020), permitindo acompanhar conexões, deslocamentos e linhas de fuga produzidos durante a experiência formativa, recusando percursos lineares e compreendendo currículo, pesquisa e formação como processos permanentemente abertos. As reflexões de Zen, Carvalho e Sá (2019) contribuíram</w:t>
      </w:r>
      <w:r>
        <w:rPr>
          <w:sz w:val="24"/>
          <w:szCs w:val="24"/>
        </w:rPr>
        <w:t xml:space="preserve"> também</w:t>
      </w:r>
      <w:r w:rsidRPr="000C3F40">
        <w:rPr>
          <w:sz w:val="24"/>
          <w:szCs w:val="24"/>
        </w:rPr>
        <w:t xml:space="preserve"> para compreender esse movimento como um permanente vir a ser da formação, deslocando docência e </w:t>
      </w:r>
      <w:proofErr w:type="spellStart"/>
      <w:r w:rsidRPr="000C3F40">
        <w:rPr>
          <w:sz w:val="24"/>
          <w:szCs w:val="24"/>
        </w:rPr>
        <w:t>discência</w:t>
      </w:r>
      <w:proofErr w:type="spellEnd"/>
      <w:r w:rsidRPr="000C3F40">
        <w:rPr>
          <w:sz w:val="24"/>
          <w:szCs w:val="24"/>
        </w:rPr>
        <w:t xml:space="preserve"> de posições fixas para processos produzidos na relação com o outro, com os saberes e com as condições da experiência educativa. </w:t>
      </w:r>
    </w:p>
    <w:p w14:paraId="3D2AD62E" w14:textId="77777777" w:rsidR="004E1199" w:rsidRDefault="004E1199" w:rsidP="004E1199">
      <w:pPr>
        <w:keepLines/>
        <w:widowControl w:val="0"/>
        <w:spacing w:line="360" w:lineRule="auto"/>
        <w:jc w:val="both"/>
        <w:rPr>
          <w:sz w:val="24"/>
          <w:szCs w:val="24"/>
        </w:rPr>
      </w:pPr>
    </w:p>
    <w:p w14:paraId="07E1C1CC" w14:textId="77777777" w:rsidR="000379F5" w:rsidRDefault="002B07ED">
      <w:pPr>
        <w:keepLines/>
        <w:widowControl w:val="0"/>
        <w:spacing w:line="360" w:lineRule="auto"/>
        <w:jc w:val="both"/>
        <w:rPr>
          <w:b/>
          <w:bCs/>
          <w:sz w:val="24"/>
          <w:szCs w:val="24"/>
        </w:rPr>
      </w:pPr>
      <w:r>
        <w:rPr>
          <w:b/>
          <w:bCs/>
          <w:sz w:val="24"/>
          <w:szCs w:val="24"/>
        </w:rPr>
        <w:t>PALAVRAS-CHAVE</w:t>
      </w:r>
    </w:p>
    <w:p w14:paraId="4091E945" w14:textId="1DCAA865" w:rsidR="000379F5" w:rsidRPr="003578FE" w:rsidRDefault="003578FE" w:rsidP="003578FE">
      <w:pPr>
        <w:keepLines/>
        <w:widowControl w:val="0"/>
        <w:spacing w:line="240" w:lineRule="auto"/>
        <w:jc w:val="both"/>
      </w:pPr>
      <w:r w:rsidRPr="003578FE">
        <w:t xml:space="preserve">Currículo; Formação; Hospitalidade; Interseccionalidade; </w:t>
      </w:r>
      <w:proofErr w:type="spellStart"/>
      <w:r w:rsidRPr="003578FE">
        <w:t>Decolonialidade</w:t>
      </w:r>
      <w:proofErr w:type="spellEnd"/>
      <w:r w:rsidRPr="003578FE">
        <w:t>.</w:t>
      </w:r>
    </w:p>
    <w:p w14:paraId="38AEC56C" w14:textId="77777777" w:rsidR="000379F5" w:rsidRDefault="000379F5">
      <w:pPr>
        <w:keepLines/>
        <w:widowControl w:val="0"/>
        <w:spacing w:line="240" w:lineRule="auto"/>
        <w:rPr>
          <w:b/>
          <w:bCs/>
          <w:sz w:val="24"/>
          <w:szCs w:val="24"/>
        </w:rPr>
      </w:pPr>
    </w:p>
    <w:p w14:paraId="23D89368" w14:textId="77777777" w:rsidR="000379F5" w:rsidRDefault="002B07ED">
      <w:pPr>
        <w:keepLines/>
        <w:widowControl w:val="0"/>
        <w:spacing w:line="240" w:lineRule="auto"/>
        <w:rPr>
          <w:sz w:val="24"/>
          <w:szCs w:val="24"/>
        </w:rPr>
      </w:pPr>
      <w:r>
        <w:rPr>
          <w:b/>
          <w:bCs/>
          <w:sz w:val="24"/>
          <w:szCs w:val="24"/>
        </w:rPr>
        <w:t>REFERÊNCIAS</w:t>
      </w:r>
      <w:r>
        <w:rPr>
          <w:sz w:val="24"/>
          <w:szCs w:val="24"/>
        </w:rPr>
        <w:t xml:space="preserve"> </w:t>
      </w:r>
    </w:p>
    <w:p w14:paraId="795E4FED" w14:textId="77777777" w:rsidR="000C3F40" w:rsidRDefault="000C3F40" w:rsidP="000C3F40">
      <w:pPr>
        <w:rPr>
          <w:sz w:val="24"/>
          <w:szCs w:val="24"/>
        </w:rPr>
      </w:pPr>
    </w:p>
    <w:p w14:paraId="6B0BB551" w14:textId="0FE25833" w:rsidR="000C3F40" w:rsidRPr="000C3F40" w:rsidRDefault="000C3F40" w:rsidP="000C3F40">
      <w:pPr>
        <w:rPr>
          <w:sz w:val="24"/>
          <w:szCs w:val="24"/>
        </w:rPr>
      </w:pPr>
      <w:r w:rsidRPr="000C3F40">
        <w:rPr>
          <w:sz w:val="24"/>
          <w:szCs w:val="24"/>
        </w:rPr>
        <w:t xml:space="preserve">AKOTIRENE, Carla. </w:t>
      </w:r>
      <w:r w:rsidRPr="00A976EA">
        <w:rPr>
          <w:b/>
          <w:bCs/>
          <w:sz w:val="24"/>
          <w:szCs w:val="24"/>
        </w:rPr>
        <w:t>Interseccionalidade</w:t>
      </w:r>
      <w:r w:rsidRPr="000C3F40">
        <w:rPr>
          <w:sz w:val="24"/>
          <w:szCs w:val="24"/>
        </w:rPr>
        <w:t>. São Paulo: Pólen, 2019.</w:t>
      </w:r>
    </w:p>
    <w:p w14:paraId="3B37CF20" w14:textId="77777777" w:rsidR="000C3F40" w:rsidRPr="000C3F40" w:rsidRDefault="000C3F40" w:rsidP="000C3F40">
      <w:pPr>
        <w:rPr>
          <w:sz w:val="24"/>
          <w:szCs w:val="24"/>
        </w:rPr>
      </w:pPr>
    </w:p>
    <w:p w14:paraId="6711CB46" w14:textId="77777777" w:rsidR="000C3F40" w:rsidRPr="000C3F40" w:rsidRDefault="000C3F40" w:rsidP="000C3F40">
      <w:pPr>
        <w:rPr>
          <w:sz w:val="24"/>
          <w:szCs w:val="24"/>
        </w:rPr>
      </w:pPr>
      <w:r w:rsidRPr="000C3F40">
        <w:rPr>
          <w:sz w:val="24"/>
          <w:szCs w:val="24"/>
        </w:rPr>
        <w:t xml:space="preserve">CARNEIRO, Sueli. </w:t>
      </w:r>
      <w:r w:rsidRPr="00A976EA">
        <w:rPr>
          <w:b/>
          <w:bCs/>
          <w:sz w:val="24"/>
          <w:szCs w:val="24"/>
        </w:rPr>
        <w:t>A construção do outro como não-ser como fundamento do ser</w:t>
      </w:r>
      <w:r w:rsidRPr="000C3F40">
        <w:rPr>
          <w:sz w:val="24"/>
          <w:szCs w:val="24"/>
        </w:rPr>
        <w:t>. Tese (Doutorado em Educação). Universidade de São Paulo, São Paulo, 2005.</w:t>
      </w:r>
    </w:p>
    <w:p w14:paraId="30B035AA" w14:textId="77777777" w:rsidR="000C3F40" w:rsidRPr="000C3F40" w:rsidRDefault="000C3F40" w:rsidP="000C3F40">
      <w:pPr>
        <w:rPr>
          <w:sz w:val="24"/>
          <w:szCs w:val="24"/>
        </w:rPr>
      </w:pPr>
    </w:p>
    <w:p w14:paraId="7307908C" w14:textId="77777777" w:rsidR="000C3F40" w:rsidRPr="000C3F40" w:rsidRDefault="000C3F40" w:rsidP="000C3F40">
      <w:pPr>
        <w:rPr>
          <w:sz w:val="24"/>
          <w:szCs w:val="24"/>
        </w:rPr>
      </w:pPr>
      <w:r w:rsidRPr="000C3F40">
        <w:rPr>
          <w:sz w:val="24"/>
          <w:szCs w:val="24"/>
        </w:rPr>
        <w:t xml:space="preserve">DELEUZE, Gilles. </w:t>
      </w:r>
      <w:r w:rsidRPr="00A976EA">
        <w:rPr>
          <w:b/>
          <w:bCs/>
          <w:sz w:val="24"/>
          <w:szCs w:val="24"/>
        </w:rPr>
        <w:t>Foucault</w:t>
      </w:r>
      <w:r w:rsidRPr="000C3F40">
        <w:rPr>
          <w:sz w:val="24"/>
          <w:szCs w:val="24"/>
        </w:rPr>
        <w:t>. São Paulo: Brasiliense, 2013.</w:t>
      </w:r>
    </w:p>
    <w:p w14:paraId="04414A3E" w14:textId="77777777" w:rsidR="000C3F40" w:rsidRPr="000C3F40" w:rsidRDefault="000C3F40" w:rsidP="000C3F40">
      <w:pPr>
        <w:rPr>
          <w:sz w:val="24"/>
          <w:szCs w:val="24"/>
        </w:rPr>
      </w:pPr>
    </w:p>
    <w:p w14:paraId="57C9D7E8" w14:textId="77777777" w:rsidR="000C3F40" w:rsidRPr="000C3F40" w:rsidRDefault="000C3F40" w:rsidP="000C3F40">
      <w:pPr>
        <w:rPr>
          <w:sz w:val="24"/>
          <w:szCs w:val="24"/>
        </w:rPr>
      </w:pPr>
      <w:r w:rsidRPr="000C3F40">
        <w:rPr>
          <w:sz w:val="24"/>
          <w:szCs w:val="24"/>
        </w:rPr>
        <w:t xml:space="preserve">DELEUZE, Gilles; GUATTARI, Félix. </w:t>
      </w:r>
      <w:r w:rsidRPr="00A976EA">
        <w:rPr>
          <w:b/>
          <w:bCs/>
          <w:sz w:val="24"/>
          <w:szCs w:val="24"/>
        </w:rPr>
        <w:t>Mil platôs: capitalismo e esquizofrenia</w:t>
      </w:r>
      <w:r w:rsidRPr="000C3F40">
        <w:rPr>
          <w:sz w:val="24"/>
          <w:szCs w:val="24"/>
        </w:rPr>
        <w:t>. v. 1. São Paulo: Editora 34, 2020.</w:t>
      </w:r>
    </w:p>
    <w:p w14:paraId="756CBFA3" w14:textId="77777777" w:rsidR="000C3F40" w:rsidRPr="000C3F40" w:rsidRDefault="000C3F40" w:rsidP="000C3F40">
      <w:pPr>
        <w:rPr>
          <w:sz w:val="24"/>
          <w:szCs w:val="24"/>
        </w:rPr>
      </w:pPr>
    </w:p>
    <w:p w14:paraId="6800C0AE" w14:textId="77777777" w:rsidR="000C3F40" w:rsidRPr="000C3F40" w:rsidRDefault="000C3F40" w:rsidP="000C3F40">
      <w:pPr>
        <w:rPr>
          <w:sz w:val="24"/>
          <w:szCs w:val="24"/>
        </w:rPr>
      </w:pPr>
      <w:r w:rsidRPr="000C3F40">
        <w:rPr>
          <w:sz w:val="24"/>
          <w:szCs w:val="24"/>
        </w:rPr>
        <w:t xml:space="preserve">DERRIDA, Jacques; DUFOURMANTELLE, Anne. </w:t>
      </w:r>
      <w:r w:rsidRPr="00A976EA">
        <w:rPr>
          <w:b/>
          <w:bCs/>
          <w:sz w:val="24"/>
          <w:szCs w:val="24"/>
        </w:rPr>
        <w:t>Da hospitalidade</w:t>
      </w:r>
      <w:r w:rsidRPr="000C3F40">
        <w:rPr>
          <w:sz w:val="24"/>
          <w:szCs w:val="24"/>
        </w:rPr>
        <w:t>. São Paulo: Escuta, 2003.</w:t>
      </w:r>
    </w:p>
    <w:p w14:paraId="7FECC5C6" w14:textId="77777777" w:rsidR="000C3F40" w:rsidRPr="000C3F40" w:rsidRDefault="000C3F40" w:rsidP="000C3F40">
      <w:pPr>
        <w:rPr>
          <w:sz w:val="24"/>
          <w:szCs w:val="24"/>
        </w:rPr>
      </w:pPr>
    </w:p>
    <w:p w14:paraId="396C32B8" w14:textId="77777777" w:rsidR="000C3F40" w:rsidRPr="000C3F40" w:rsidRDefault="000C3F40" w:rsidP="000C3F40">
      <w:pPr>
        <w:rPr>
          <w:sz w:val="24"/>
          <w:szCs w:val="24"/>
        </w:rPr>
      </w:pPr>
      <w:r w:rsidRPr="000C3F40">
        <w:rPr>
          <w:sz w:val="24"/>
          <w:szCs w:val="24"/>
        </w:rPr>
        <w:t xml:space="preserve">FOUCAULT, Michel. </w:t>
      </w:r>
      <w:r w:rsidRPr="00A976EA">
        <w:rPr>
          <w:b/>
          <w:bCs/>
          <w:sz w:val="24"/>
          <w:szCs w:val="24"/>
        </w:rPr>
        <w:t>História da sexualidade I: a vontade de saber</w:t>
      </w:r>
      <w:r w:rsidRPr="000C3F40">
        <w:rPr>
          <w:sz w:val="24"/>
          <w:szCs w:val="24"/>
        </w:rPr>
        <w:t>. Rio de Janeiro: Paz e Terra, 2020a.</w:t>
      </w:r>
    </w:p>
    <w:p w14:paraId="06E28501" w14:textId="77777777" w:rsidR="000C3F40" w:rsidRPr="000C3F40" w:rsidRDefault="000C3F40" w:rsidP="000C3F40">
      <w:pPr>
        <w:rPr>
          <w:sz w:val="24"/>
          <w:szCs w:val="24"/>
        </w:rPr>
      </w:pPr>
    </w:p>
    <w:p w14:paraId="3B1527C5" w14:textId="77777777" w:rsidR="000C3F40" w:rsidRPr="000C3F40" w:rsidRDefault="000C3F40" w:rsidP="000C3F40">
      <w:pPr>
        <w:rPr>
          <w:sz w:val="24"/>
          <w:szCs w:val="24"/>
        </w:rPr>
      </w:pPr>
      <w:r w:rsidRPr="000C3F40">
        <w:rPr>
          <w:sz w:val="24"/>
          <w:szCs w:val="24"/>
        </w:rPr>
        <w:t xml:space="preserve">FOUCAULT, Michel. </w:t>
      </w:r>
      <w:r w:rsidRPr="00A976EA">
        <w:rPr>
          <w:b/>
          <w:bCs/>
          <w:sz w:val="24"/>
          <w:szCs w:val="24"/>
        </w:rPr>
        <w:t>Microfísica do poder</w:t>
      </w:r>
      <w:r w:rsidRPr="000C3F40">
        <w:rPr>
          <w:sz w:val="24"/>
          <w:szCs w:val="24"/>
        </w:rPr>
        <w:t>. Rio de Janeiro: Paz e Terra, 2021.</w:t>
      </w:r>
    </w:p>
    <w:p w14:paraId="630B317C" w14:textId="77777777" w:rsidR="000C3F40" w:rsidRPr="000C3F40" w:rsidRDefault="000C3F40" w:rsidP="000C3F40">
      <w:pPr>
        <w:rPr>
          <w:sz w:val="24"/>
          <w:szCs w:val="24"/>
        </w:rPr>
      </w:pPr>
    </w:p>
    <w:p w14:paraId="3F764B19" w14:textId="77777777" w:rsidR="000C3F40" w:rsidRDefault="000C3F40" w:rsidP="000C3F40">
      <w:pPr>
        <w:rPr>
          <w:sz w:val="24"/>
          <w:szCs w:val="24"/>
        </w:rPr>
      </w:pPr>
      <w:r w:rsidRPr="000C3F40">
        <w:rPr>
          <w:sz w:val="24"/>
          <w:szCs w:val="24"/>
        </w:rPr>
        <w:t xml:space="preserve">MBEMBE, Achille. </w:t>
      </w:r>
      <w:r w:rsidRPr="00A976EA">
        <w:rPr>
          <w:b/>
          <w:bCs/>
          <w:sz w:val="24"/>
          <w:szCs w:val="24"/>
        </w:rPr>
        <w:t>Necropolítica</w:t>
      </w:r>
      <w:r w:rsidRPr="000C3F40">
        <w:rPr>
          <w:sz w:val="24"/>
          <w:szCs w:val="24"/>
        </w:rPr>
        <w:t>. São Paulo: n-1 edições, 2018.</w:t>
      </w:r>
    </w:p>
    <w:p w14:paraId="3E010B1C" w14:textId="77777777" w:rsidR="00DB632F" w:rsidRDefault="00DB632F" w:rsidP="000C3F40">
      <w:pPr>
        <w:rPr>
          <w:sz w:val="24"/>
          <w:szCs w:val="24"/>
        </w:rPr>
      </w:pPr>
    </w:p>
    <w:p w14:paraId="37229D7A" w14:textId="1BE51270" w:rsidR="00DB632F" w:rsidRPr="000C3F40" w:rsidRDefault="00DB632F" w:rsidP="000C3F40">
      <w:pPr>
        <w:rPr>
          <w:sz w:val="24"/>
          <w:szCs w:val="24"/>
        </w:rPr>
      </w:pPr>
      <w:r w:rsidRPr="00DB632F">
        <w:rPr>
          <w:sz w:val="24"/>
          <w:szCs w:val="24"/>
        </w:rPr>
        <w:t xml:space="preserve">PASSOS, Eduardo; KASTRUP, Virgínia. Sobre a validação da pesquisa cartográfica: acesso à experiência, consistência e produção de efeitos. In: PASSOS, Eduardo; KASTRUP, Virgínia; TEDESCO, Silvia (org.). Pistas do método da cartografia: a experiência da pesquisa e o plano comum. </w:t>
      </w:r>
      <w:r w:rsidRPr="00A62D1B">
        <w:rPr>
          <w:b/>
          <w:bCs/>
          <w:sz w:val="24"/>
          <w:szCs w:val="24"/>
        </w:rPr>
        <w:t>Porto Alegre: Sulina</w:t>
      </w:r>
      <w:r w:rsidRPr="00DB632F">
        <w:rPr>
          <w:sz w:val="24"/>
          <w:szCs w:val="24"/>
        </w:rPr>
        <w:t>, 2013.</w:t>
      </w:r>
    </w:p>
    <w:p w14:paraId="382BCAE2" w14:textId="77777777" w:rsidR="000C3F40" w:rsidRPr="000C3F40" w:rsidRDefault="000C3F40" w:rsidP="000C3F40">
      <w:pPr>
        <w:rPr>
          <w:sz w:val="24"/>
          <w:szCs w:val="24"/>
        </w:rPr>
      </w:pPr>
    </w:p>
    <w:p w14:paraId="7DE833EC" w14:textId="322D3F2B" w:rsidR="000379F5" w:rsidRPr="000C3F40" w:rsidRDefault="000C3F40" w:rsidP="000C3F40">
      <w:r w:rsidRPr="000C3F40">
        <w:rPr>
          <w:sz w:val="24"/>
          <w:szCs w:val="24"/>
        </w:rPr>
        <w:lastRenderedPageBreak/>
        <w:t xml:space="preserve">ZEN, Giovana Cristina; CARVALHO, Maria Inez da Silva de Souza; SÁ, Maria Roseli Gomes Brito de. Reflexões sobre as relações entre formação e experiência. </w:t>
      </w:r>
      <w:r w:rsidRPr="00A976EA">
        <w:rPr>
          <w:b/>
          <w:bCs/>
          <w:sz w:val="24"/>
          <w:szCs w:val="24"/>
        </w:rPr>
        <w:t>Revista da Faculdade de Educação</w:t>
      </w:r>
      <w:r w:rsidRPr="000C3F40">
        <w:rPr>
          <w:sz w:val="24"/>
          <w:szCs w:val="24"/>
        </w:rPr>
        <w:t>, v. 30, n. 2, p. 69-89, 2019.</w:t>
      </w:r>
    </w:p>
    <w:sectPr w:rsidR="000379F5" w:rsidRPr="000C3F40">
      <w:headerReference w:type="default" r:id="rId6"/>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A938E" w14:textId="77777777" w:rsidR="003409BF" w:rsidRDefault="003409BF">
      <w:pPr>
        <w:spacing w:line="240" w:lineRule="auto"/>
      </w:pPr>
      <w:r>
        <w:separator/>
      </w:r>
    </w:p>
  </w:endnote>
  <w:endnote w:type="continuationSeparator" w:id="0">
    <w:p w14:paraId="3920AF75" w14:textId="77777777" w:rsidR="003409BF" w:rsidRDefault="003409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3DB9508-1208-4149-A13F-CE3CAC3EC802}"/>
  </w:font>
  <w:font w:name="Cambria">
    <w:panose1 w:val="02040503050406030204"/>
    <w:charset w:val="00"/>
    <w:family w:val="roman"/>
    <w:pitch w:val="variable"/>
    <w:sig w:usb0="E00006FF" w:usb1="420024FF" w:usb2="02000000" w:usb3="00000000" w:csb0="0000019F" w:csb1="00000000"/>
    <w:embedRegular r:id="rId2" w:fontKey="{767CED85-8212-4FFB-BC89-18715D0F73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B77CC" w14:textId="77777777" w:rsidR="000379F5" w:rsidRDefault="002B07ED">
    <w:pPr>
      <w:jc w:val="center"/>
    </w:pPr>
    <w:r>
      <w:fldChar w:fldCharType="begin"/>
    </w:r>
    <w:r>
      <w:instrText>PAGE</w:instrText>
    </w:r>
    <w:r>
      <w:fldChar w:fldCharType="separate"/>
    </w:r>
    <w:r w:rsidR="003578F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4364E" w14:textId="77777777" w:rsidR="003409BF" w:rsidRDefault="003409BF">
      <w:pPr>
        <w:spacing w:line="240" w:lineRule="auto"/>
      </w:pPr>
      <w:r>
        <w:separator/>
      </w:r>
    </w:p>
  </w:footnote>
  <w:footnote w:type="continuationSeparator" w:id="0">
    <w:p w14:paraId="466E2673" w14:textId="77777777" w:rsidR="003409BF" w:rsidRDefault="003409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F15D8" w14:textId="77777777" w:rsidR="000379F5" w:rsidRDefault="002B07ED">
    <w:pPr>
      <w:jc w:val="right"/>
    </w:pPr>
    <w:r>
      <w:rPr>
        <w:noProof/>
      </w:rPr>
      <w:drawing>
        <wp:anchor distT="114300" distB="114300" distL="114300" distR="114300" simplePos="0" relativeHeight="251658240" behindDoc="1" locked="0" layoutInCell="1" hidden="0" allowOverlap="1" wp14:anchorId="552E0359" wp14:editId="614360A5">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70DF88AF" wp14:editId="4A8B8D3F">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7CE5EC7D" w14:textId="77777777" w:rsidR="000379F5" w:rsidRDefault="000379F5">
    <w:pPr>
      <w:jc w:val="right"/>
    </w:pPr>
  </w:p>
  <w:p w14:paraId="1BAE7345" w14:textId="77777777" w:rsidR="000379F5" w:rsidRDefault="000379F5">
    <w:pPr>
      <w:jc w:val="right"/>
    </w:pPr>
  </w:p>
  <w:p w14:paraId="0E88DB49" w14:textId="77777777" w:rsidR="000379F5" w:rsidRDefault="002B07ED">
    <w:r>
      <w:rPr>
        <w:noProof/>
      </w:rPr>
      <w:drawing>
        <wp:anchor distT="114300" distB="114300" distL="114300" distR="114300" simplePos="0" relativeHeight="251660288" behindDoc="1" locked="0" layoutInCell="1" hidden="0" allowOverlap="1" wp14:anchorId="66B68479" wp14:editId="030506F4">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9F5"/>
    <w:rsid w:val="000379F5"/>
    <w:rsid w:val="000C3F40"/>
    <w:rsid w:val="001509DD"/>
    <w:rsid w:val="002A22DF"/>
    <w:rsid w:val="002B07ED"/>
    <w:rsid w:val="003409BF"/>
    <w:rsid w:val="003578FE"/>
    <w:rsid w:val="00400FF0"/>
    <w:rsid w:val="004E1199"/>
    <w:rsid w:val="007563DE"/>
    <w:rsid w:val="00783FDA"/>
    <w:rsid w:val="00960FE4"/>
    <w:rsid w:val="009C15B7"/>
    <w:rsid w:val="00A62D1B"/>
    <w:rsid w:val="00A976EA"/>
    <w:rsid w:val="00AA339B"/>
    <w:rsid w:val="00BB2C3E"/>
    <w:rsid w:val="00C53FD8"/>
    <w:rsid w:val="00CF3866"/>
    <w:rsid w:val="00DB63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04043"/>
  <w15:docId w15:val="{60E3557C-1D04-4C3F-B42A-7982ABB34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Cabealho">
    <w:name w:val="header"/>
    <w:basedOn w:val="Normal"/>
    <w:link w:val="CabealhoChar"/>
    <w:uiPriority w:val="99"/>
    <w:unhideWhenUsed/>
    <w:rsid w:val="000C3F40"/>
    <w:pPr>
      <w:tabs>
        <w:tab w:val="center" w:pos="4252"/>
        <w:tab w:val="right" w:pos="8504"/>
      </w:tabs>
      <w:spacing w:line="240" w:lineRule="auto"/>
    </w:pPr>
  </w:style>
  <w:style w:type="character" w:customStyle="1" w:styleId="CabealhoChar">
    <w:name w:val="Cabeçalho Char"/>
    <w:basedOn w:val="Fontepargpadro"/>
    <w:link w:val="Cabealho"/>
    <w:uiPriority w:val="99"/>
    <w:rsid w:val="000C3F40"/>
  </w:style>
  <w:style w:type="paragraph" w:styleId="Rodap">
    <w:name w:val="footer"/>
    <w:basedOn w:val="Normal"/>
    <w:link w:val="RodapChar"/>
    <w:uiPriority w:val="99"/>
    <w:unhideWhenUsed/>
    <w:rsid w:val="000C3F40"/>
    <w:pPr>
      <w:tabs>
        <w:tab w:val="center" w:pos="4252"/>
        <w:tab w:val="right" w:pos="8504"/>
      </w:tabs>
      <w:spacing w:line="240" w:lineRule="auto"/>
    </w:pPr>
  </w:style>
  <w:style w:type="character" w:customStyle="1" w:styleId="RodapChar">
    <w:name w:val="Rodapé Char"/>
    <w:basedOn w:val="Fontepargpadro"/>
    <w:link w:val="Rodap"/>
    <w:uiPriority w:val="99"/>
    <w:rsid w:val="000C3F40"/>
  </w:style>
  <w:style w:type="character" w:styleId="Hyperlink">
    <w:name w:val="Hyperlink"/>
    <w:basedOn w:val="Fontepargpadro"/>
    <w:uiPriority w:val="99"/>
    <w:unhideWhenUsed/>
    <w:rsid w:val="00A976EA"/>
    <w:rPr>
      <w:color w:val="0000FF" w:themeColor="hyperlink"/>
      <w:u w:val="single"/>
    </w:rPr>
  </w:style>
  <w:style w:type="character" w:styleId="MenoPendente">
    <w:name w:val="Unresolved Mention"/>
    <w:basedOn w:val="Fontepargpadro"/>
    <w:uiPriority w:val="99"/>
    <w:semiHidden/>
    <w:unhideWhenUsed/>
    <w:rsid w:val="00A976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893503">
      <w:bodyDiv w:val="1"/>
      <w:marLeft w:val="0"/>
      <w:marRight w:val="0"/>
      <w:marTop w:val="0"/>
      <w:marBottom w:val="0"/>
      <w:divBdr>
        <w:top w:val="none" w:sz="0" w:space="0" w:color="auto"/>
        <w:left w:val="none" w:sz="0" w:space="0" w:color="auto"/>
        <w:bottom w:val="none" w:sz="0" w:space="0" w:color="auto"/>
        <w:right w:val="none" w:sz="0" w:space="0" w:color="auto"/>
      </w:divBdr>
    </w:div>
    <w:div w:id="567617277">
      <w:bodyDiv w:val="1"/>
      <w:marLeft w:val="0"/>
      <w:marRight w:val="0"/>
      <w:marTop w:val="0"/>
      <w:marBottom w:val="0"/>
      <w:divBdr>
        <w:top w:val="none" w:sz="0" w:space="0" w:color="auto"/>
        <w:left w:val="none" w:sz="0" w:space="0" w:color="auto"/>
        <w:bottom w:val="none" w:sz="0" w:space="0" w:color="auto"/>
        <w:right w:val="none" w:sz="0" w:space="0" w:color="auto"/>
      </w:divBdr>
    </w:div>
    <w:div w:id="701051021">
      <w:bodyDiv w:val="1"/>
      <w:marLeft w:val="0"/>
      <w:marRight w:val="0"/>
      <w:marTop w:val="0"/>
      <w:marBottom w:val="0"/>
      <w:divBdr>
        <w:top w:val="none" w:sz="0" w:space="0" w:color="auto"/>
        <w:left w:val="none" w:sz="0" w:space="0" w:color="auto"/>
        <w:bottom w:val="none" w:sz="0" w:space="0" w:color="auto"/>
        <w:right w:val="none" w:sz="0" w:space="0" w:color="auto"/>
      </w:divBdr>
    </w:div>
    <w:div w:id="1024818270">
      <w:bodyDiv w:val="1"/>
      <w:marLeft w:val="0"/>
      <w:marRight w:val="0"/>
      <w:marTop w:val="0"/>
      <w:marBottom w:val="0"/>
      <w:divBdr>
        <w:top w:val="none" w:sz="0" w:space="0" w:color="auto"/>
        <w:left w:val="none" w:sz="0" w:space="0" w:color="auto"/>
        <w:bottom w:val="none" w:sz="0" w:space="0" w:color="auto"/>
        <w:right w:val="none" w:sz="0" w:space="0" w:color="auto"/>
      </w:divBdr>
    </w:div>
    <w:div w:id="1445493561">
      <w:bodyDiv w:val="1"/>
      <w:marLeft w:val="0"/>
      <w:marRight w:val="0"/>
      <w:marTop w:val="0"/>
      <w:marBottom w:val="0"/>
      <w:divBdr>
        <w:top w:val="none" w:sz="0" w:space="0" w:color="auto"/>
        <w:left w:val="none" w:sz="0" w:space="0" w:color="auto"/>
        <w:bottom w:val="none" w:sz="0" w:space="0" w:color="auto"/>
        <w:right w:val="none" w:sz="0" w:space="0" w:color="auto"/>
      </w:divBdr>
    </w:div>
    <w:div w:id="2080130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2504</TotalTime>
  <Pages>5</Pages>
  <Words>1312</Words>
  <Characters>7088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Thiago Reis</dc:creator>
  <cp:lastModifiedBy>thiagoreis1314@gmail.com</cp:lastModifiedBy>
  <cp:revision>14</cp:revision>
  <dcterms:created xsi:type="dcterms:W3CDTF">2026-07-26T20:53:00Z</dcterms:created>
  <dcterms:modified xsi:type="dcterms:W3CDTF">2026-07-28T17:25:00Z</dcterms:modified>
</cp:coreProperties>
</file>