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5915025</wp:posOffset>
            </wp:positionH>
            <wp:positionV relativeFrom="page">
              <wp:posOffset>9344025</wp:posOffset>
            </wp:positionV>
            <wp:extent cx="1654175" cy="13493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6705600</wp:posOffset>
            </wp:positionH>
            <wp:positionV relativeFrom="page">
              <wp:posOffset>152400</wp:posOffset>
            </wp:positionV>
            <wp:extent cx="666750" cy="7620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19100" cy="1069339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0693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7"/>
        <w:rPr>
          <w:rFonts w:ascii="Times New Roman"/>
        </w:rPr>
      </w:pPr>
    </w:p>
    <w:p>
      <w:pPr>
        <w:spacing w:before="1"/>
        <w:ind w:left="0" w:right="12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ENCONTRO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SABERES: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DIÁLOGOS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INTERCULTURAIS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10"/>
          <w:sz w:val="24"/>
        </w:rPr>
        <w:t>E</w:t>
      </w:r>
    </w:p>
    <w:p>
      <w:pPr>
        <w:spacing w:before="0"/>
        <w:ind w:left="0" w:right="13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INTEREPISTÊMICOS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ACADEMIA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OS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POVOS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COMUNIDADES </w:t>
      </w:r>
      <w:r>
        <w:rPr>
          <w:rFonts w:ascii="Arial" w:hAnsi="Arial"/>
          <w:b/>
          <w:spacing w:val="-2"/>
          <w:sz w:val="24"/>
        </w:rPr>
        <w:t>TRADICIONAIS</w:t>
      </w:r>
    </w:p>
    <w:p>
      <w:pPr>
        <w:pStyle w:val="BodyText"/>
        <w:spacing w:before="275"/>
        <w:rPr>
          <w:rFonts w:ascii="Arial"/>
          <w:b/>
        </w:rPr>
      </w:pPr>
    </w:p>
    <w:p>
      <w:pPr>
        <w:spacing w:before="1"/>
        <w:ind w:left="514" w:right="0" w:hanging="24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RAÍZES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DA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LEITURA: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educação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popular,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alfabetização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jovens,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adultos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e idosos e valorização dos saberes territoriais no Vale do Jequitinhonha</w:t>
      </w:r>
    </w:p>
    <w:p>
      <w:pPr>
        <w:pStyle w:val="BodyText"/>
        <w:spacing w:before="275"/>
        <w:rPr>
          <w:rFonts w:ascii="Arial"/>
          <w:b/>
        </w:rPr>
      </w:pPr>
    </w:p>
    <w:p>
      <w:pPr>
        <w:pStyle w:val="BodyText"/>
        <w:ind w:right="35"/>
        <w:jc w:val="right"/>
      </w:pPr>
      <w:r>
        <w:rPr/>
        <w:t>Paula</w:t>
      </w:r>
      <w:r>
        <w:rPr>
          <w:spacing w:val="-2"/>
        </w:rPr>
        <w:t> </w:t>
      </w:r>
      <w:r>
        <w:rPr/>
        <w:t>Cristina</w:t>
      </w:r>
      <w:r>
        <w:rPr>
          <w:spacing w:val="-2"/>
        </w:rPr>
        <w:t> </w:t>
      </w:r>
      <w:r>
        <w:rPr/>
        <w:t>Silva</w:t>
      </w:r>
      <w:r>
        <w:rPr>
          <w:spacing w:val="-1"/>
        </w:rPr>
        <w:t> </w:t>
      </w:r>
      <w:r>
        <w:rPr/>
        <w:t>1,</w:t>
      </w:r>
      <w:r>
        <w:rPr>
          <w:spacing w:val="-2"/>
        </w:rPr>
        <w:t> </w:t>
      </w:r>
      <w:r>
        <w:rPr/>
        <w:t>Universidade</w:t>
      </w:r>
      <w:r>
        <w:rPr>
          <w:spacing w:val="-2"/>
        </w:rPr>
        <w:t> </w:t>
      </w:r>
      <w:r>
        <w:rPr/>
        <w:t>Federal</w:t>
      </w:r>
      <w:r>
        <w:rPr>
          <w:spacing w:val="-1"/>
        </w:rPr>
        <w:t> </w:t>
      </w:r>
      <w:r>
        <w:rPr/>
        <w:t>dos</w:t>
      </w:r>
      <w:r>
        <w:rPr>
          <w:spacing w:val="-2"/>
        </w:rPr>
        <w:t> </w:t>
      </w:r>
      <w:r>
        <w:rPr/>
        <w:t>Vales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Jequitinhonha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Mucuri,</w:t>
      </w:r>
    </w:p>
    <w:p>
      <w:pPr>
        <w:pStyle w:val="BodyText"/>
        <w:ind w:left="1288" w:right="35" w:firstLine="4781"/>
        <w:jc w:val="right"/>
      </w:pPr>
      <w:hyperlink r:id="rId9">
        <w:r>
          <w:rPr>
            <w:spacing w:val="-2"/>
          </w:rPr>
          <w:t>paula.cristina@ufvjm.edu.br</w:t>
        </w:r>
      </w:hyperlink>
      <w:r>
        <w:rPr>
          <w:spacing w:val="-2"/>
        </w:rPr>
        <w:t> </w:t>
      </w:r>
      <w:r>
        <w:rPr/>
        <w:t>Rian</w:t>
      </w:r>
      <w:r>
        <w:rPr>
          <w:spacing w:val="-6"/>
        </w:rPr>
        <w:t> </w:t>
      </w:r>
      <w:r>
        <w:rPr/>
        <w:t>Santos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Patrocinio</w:t>
      </w:r>
      <w:r>
        <w:rPr>
          <w:spacing w:val="-6"/>
        </w:rPr>
        <w:t> </w:t>
      </w:r>
      <w:r>
        <w:rPr/>
        <w:t>Figueiró</w:t>
      </w:r>
      <w:r>
        <w:rPr>
          <w:spacing w:val="-6"/>
        </w:rPr>
        <w:t> </w:t>
      </w:r>
      <w:r>
        <w:rPr/>
        <w:t>2,</w:t>
      </w:r>
      <w:r>
        <w:rPr>
          <w:spacing w:val="-6"/>
        </w:rPr>
        <w:t> </w:t>
      </w:r>
      <w:r>
        <w:rPr/>
        <w:t>Universidade</w:t>
      </w:r>
      <w:r>
        <w:rPr>
          <w:spacing w:val="-6"/>
        </w:rPr>
        <w:t> </w:t>
      </w:r>
      <w:r>
        <w:rPr/>
        <w:t>Federal</w:t>
      </w:r>
      <w:r>
        <w:rPr>
          <w:spacing w:val="-6"/>
        </w:rPr>
        <w:t> </w:t>
      </w:r>
      <w:r>
        <w:rPr/>
        <w:t>dos</w:t>
      </w:r>
      <w:r>
        <w:rPr>
          <w:spacing w:val="-6"/>
        </w:rPr>
        <w:t> </w:t>
      </w:r>
      <w:r>
        <w:rPr/>
        <w:t>Vales</w:t>
      </w:r>
      <w:r>
        <w:rPr>
          <w:spacing w:val="-6"/>
        </w:rPr>
        <w:t> </w:t>
      </w:r>
      <w:r>
        <w:rPr/>
        <w:t>do Jequitinhonha e Mucuri, </w:t>
      </w:r>
      <w:hyperlink r:id="rId10">
        <w:r>
          <w:rPr/>
          <w:t>rian.figueiro@ufvjm.edu.br</w:t>
        </w:r>
      </w:hyperlink>
    </w:p>
    <w:p>
      <w:pPr>
        <w:pStyle w:val="BodyText"/>
        <w:ind w:right="35"/>
        <w:jc w:val="right"/>
      </w:pPr>
      <w:r>
        <w:rPr/>
        <w:t>Nádia</w:t>
      </w:r>
      <w:r>
        <w:rPr>
          <w:spacing w:val="-2"/>
        </w:rPr>
        <w:t> </w:t>
      </w:r>
      <w:r>
        <w:rPr/>
        <w:t>Maria</w:t>
      </w:r>
      <w:r>
        <w:rPr>
          <w:spacing w:val="-2"/>
        </w:rPr>
        <w:t> </w:t>
      </w:r>
      <w:r>
        <w:rPr/>
        <w:t>Jorge</w:t>
      </w:r>
      <w:r>
        <w:rPr>
          <w:spacing w:val="-1"/>
        </w:rPr>
        <w:t> </w:t>
      </w:r>
      <w:r>
        <w:rPr/>
        <w:t>Medeiros</w:t>
      </w:r>
      <w:r>
        <w:rPr>
          <w:spacing w:val="-2"/>
        </w:rPr>
        <w:t> </w:t>
      </w:r>
      <w:r>
        <w:rPr/>
        <w:t>3,</w:t>
      </w:r>
      <w:r>
        <w:rPr>
          <w:spacing w:val="-2"/>
        </w:rPr>
        <w:t> </w:t>
      </w:r>
      <w:r>
        <w:rPr/>
        <w:t>Universidade</w:t>
      </w:r>
      <w:r>
        <w:rPr>
          <w:spacing w:val="-1"/>
        </w:rPr>
        <w:t> </w:t>
      </w:r>
      <w:r>
        <w:rPr/>
        <w:t>Federal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Vales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Jequitinhonha</w:t>
      </w:r>
      <w:r>
        <w:rPr>
          <w:spacing w:val="-1"/>
        </w:rPr>
        <w:t> </w:t>
      </w:r>
      <w:r>
        <w:rPr>
          <w:spacing w:val="-10"/>
        </w:rPr>
        <w:t>e</w:t>
      </w:r>
    </w:p>
    <w:p>
      <w:pPr>
        <w:pStyle w:val="BodyText"/>
        <w:ind w:right="35"/>
        <w:jc w:val="right"/>
      </w:pPr>
      <w:r>
        <w:rPr/>
        <w:t>Mucuri, </w:t>
      </w:r>
      <w:hyperlink r:id="rId11">
        <w:r>
          <w:rPr>
            <w:spacing w:val="-2"/>
          </w:rPr>
          <w:t>nadia.jorge@ufvjm.edu.br</w:t>
        </w:r>
      </w:hyperlink>
    </w:p>
    <w:p>
      <w:pPr>
        <w:pStyle w:val="BodyText"/>
      </w:pPr>
    </w:p>
    <w:p>
      <w:pPr>
        <w:pStyle w:val="BodyText"/>
        <w:spacing w:before="138"/>
      </w:pPr>
    </w:p>
    <w:p>
      <w:pPr>
        <w:spacing w:before="0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RESUMO</w:t>
      </w:r>
    </w:p>
    <w:p>
      <w:pPr>
        <w:pStyle w:val="BodyText"/>
        <w:spacing w:before="102"/>
        <w:rPr>
          <w:rFonts w:ascii="Arial"/>
          <w:b/>
        </w:rPr>
      </w:pPr>
    </w:p>
    <w:p>
      <w:pPr>
        <w:pStyle w:val="BodyText"/>
        <w:spacing w:line="360" w:lineRule="auto"/>
        <w:ind w:left="23" w:right="40"/>
        <w:jc w:val="both"/>
      </w:pPr>
      <w:r>
        <w:rPr/>
        <w:t>O analfabetismo permanece como um dos principais desafios </w:t>
      </w:r>
      <w:r>
        <w:rPr/>
        <w:t>educacionais brasileiros, manifestando-se de forma mais intensa em territórios </w:t>
      </w:r>
      <w:r>
        <w:rPr/>
        <w:t>historicamente marcados por desigualdades sociais, econômicas e educacionais, como o Vale </w:t>
      </w:r>
      <w:r>
        <w:rPr/>
        <w:t>do Jequitinhonha, em Minas Gerais. Diante desse cenário, o projeto de ensino e extensão Raízes da Leitura, desenvolvido pela Universidade Federal dos Vales </w:t>
      </w:r>
      <w:r>
        <w:rPr/>
        <w:t>do Jequitinhonha e Mucuri (UFVJM), propõe uma ação territorial de alfabetização voltada para pessoas jovens, adultas e idosas, fundamentada nos princípios da Educação Popular e da valorização dos territórios.</w:t>
      </w:r>
    </w:p>
    <w:p>
      <w:pPr>
        <w:pStyle w:val="BodyText"/>
        <w:spacing w:line="360" w:lineRule="auto"/>
        <w:ind w:left="23" w:right="39"/>
        <w:jc w:val="both"/>
      </w:pPr>
      <w:r>
        <w:rPr/>
        <w:t>O presente trabalho objetiva apresentar os fundamentos teóricos, metodológicos </w:t>
      </w:r>
      <w:r>
        <w:rPr/>
        <w:t>e extensionistas do projeto, evidenciando como a alfabetização pode constituir-se</w:t>
      </w:r>
      <w:r>
        <w:rPr>
          <w:spacing w:val="-4"/>
        </w:rPr>
        <w:t> </w:t>
      </w:r>
      <w:r>
        <w:rPr/>
        <w:t>em um processo de fortalecimento da cidadania,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memória</w:t>
      </w:r>
      <w:r>
        <w:rPr>
          <w:spacing w:val="-3"/>
        </w:rPr>
        <w:t> </w:t>
      </w:r>
      <w:r>
        <w:rPr/>
        <w:t>coletiva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das</w:t>
      </w:r>
      <w:r>
        <w:rPr>
          <w:spacing w:val="-3"/>
        </w:rPr>
        <w:t> </w:t>
      </w:r>
      <w:r>
        <w:rPr/>
        <w:t>identidades territoriais. Parte-se da compreensão de que alfabetizar não significa apenas</w:t>
      </w:r>
      <w:r>
        <w:rPr>
          <w:spacing w:val="40"/>
        </w:rPr>
        <w:t> </w:t>
      </w:r>
      <w:r>
        <w:rPr/>
        <w:t>ensinar códigos linguísticos, mas possibilitar que os sujeitos ampliem sua participação social, fortaleçam sua autonomia e reconheçam o valor de seus conhecimentos, histórias e experiências de vida.</w:t>
      </w:r>
    </w:p>
    <w:p>
      <w:pPr>
        <w:pStyle w:val="BodyText"/>
        <w:spacing w:line="360" w:lineRule="auto"/>
        <w:ind w:left="23" w:right="36"/>
        <w:jc w:val="both"/>
      </w:pPr>
      <w:r>
        <w:rPr/>
        <w:t>Fundamentado na pedagogia de</w:t>
      </w:r>
      <w:r>
        <w:rPr>
          <w:spacing w:val="-4"/>
        </w:rPr>
        <w:t> </w:t>
      </w:r>
      <w:r>
        <w:rPr/>
        <w:t>Freire</w:t>
      </w:r>
      <w:r>
        <w:rPr>
          <w:spacing w:val="-4"/>
        </w:rPr>
        <w:t> </w:t>
      </w:r>
      <w:r>
        <w:rPr/>
        <w:t>(1970;</w:t>
      </w:r>
      <w:r>
        <w:rPr>
          <w:spacing w:val="-4"/>
        </w:rPr>
        <w:t> </w:t>
      </w:r>
      <w:r>
        <w:rPr/>
        <w:t>1996),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projeto</w:t>
      </w:r>
      <w:r>
        <w:rPr>
          <w:spacing w:val="-4"/>
        </w:rPr>
        <w:t> </w:t>
      </w:r>
      <w:r>
        <w:rPr/>
        <w:t>compreende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leitura e a escrita como práticas sociais construídas a partir da realidade vivida pelos educandos. Assim, a alfabetização é concebida como prática emancipatória, baseada no diálogo, na escuta e na construção coletiva do conhecimento.</w:t>
      </w:r>
    </w:p>
    <w:p>
      <w:pPr>
        <w:pStyle w:val="BodyText"/>
        <w:spacing w:after="0" w:line="360" w:lineRule="auto"/>
        <w:jc w:val="both"/>
        <w:sectPr>
          <w:footerReference w:type="default" r:id="rId5"/>
          <w:type w:val="continuous"/>
          <w:pgSz w:w="11920" w:h="16840"/>
          <w:pgMar w:header="0" w:footer="799" w:top="0" w:bottom="980" w:left="1417" w:right="1417"/>
          <w:pgNumType w:start="1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34592">
            <wp:simplePos x="0" y="0"/>
            <wp:positionH relativeFrom="page">
              <wp:posOffset>5915025</wp:posOffset>
            </wp:positionH>
            <wp:positionV relativeFrom="page">
              <wp:posOffset>9344025</wp:posOffset>
            </wp:positionV>
            <wp:extent cx="1654175" cy="134937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6705600</wp:posOffset>
            </wp:positionH>
            <wp:positionV relativeFrom="page">
              <wp:posOffset>152400</wp:posOffset>
            </wp:positionV>
            <wp:extent cx="666750" cy="7620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19100" cy="1069339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0693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spacing w:line="360" w:lineRule="auto" w:before="1"/>
        <w:ind w:left="23" w:right="38"/>
        <w:jc w:val="both"/>
      </w:pPr>
      <w:r>
        <w:rPr/>
        <w:t>O município de Virgem da Lapa foi escolhido para o desenvolvimento inicial das ações por apresentar elevados índices de analfabetismo (IBGE, 2024)</w:t>
      </w:r>
      <w:r>
        <w:rPr>
          <w:spacing w:val="80"/>
        </w:rPr>
        <w:t> </w:t>
      </w:r>
      <w:r>
        <w:rPr/>
        <w:t>e histórico</w:t>
      </w:r>
      <w:r>
        <w:rPr>
          <w:spacing w:val="40"/>
        </w:rPr>
        <w:t> </w:t>
      </w:r>
      <w:r>
        <w:rPr/>
        <w:t>de atuação da universidade em iniciativas voltadas à Educação do Campo e à Educação Quilombola. Além disso, trata-se de um território marcado pela </w:t>
      </w:r>
      <w:r>
        <w:rPr/>
        <w:t>presença significativa de comunidades quilombolas, cujos modos de vida e formas de organização comunitária constituem importantes referências para a construção de práticas educativas contextualizadas e interculturais.</w:t>
      </w:r>
    </w:p>
    <w:p>
      <w:pPr>
        <w:pStyle w:val="BodyText"/>
        <w:spacing w:line="360" w:lineRule="auto"/>
        <w:ind w:left="23" w:right="35"/>
        <w:jc w:val="both"/>
      </w:pPr>
      <w:r>
        <w:rPr/>
        <w:t>A metodologia organiza-se em três eixos articulados: prática educativa, formação docente em serviço e acompanhamento pedagógico contínuo. As atividades serão desenvolvidas por graduandos de licenciaturas, acompanhadas por professoras da universidade e pedagogas. Antes do início das turmas, será realizada </w:t>
      </w:r>
      <w:r>
        <w:rPr/>
        <w:t>formação inicial voltada aos fundamentos da Educação de Jovens e Adultos, Educação Popular,</w:t>
      </w:r>
      <w:r>
        <w:rPr>
          <w:spacing w:val="-5"/>
        </w:rPr>
        <w:t> </w:t>
      </w:r>
      <w:r>
        <w:rPr/>
        <w:t>planejamento</w:t>
      </w:r>
      <w:r>
        <w:rPr>
          <w:spacing w:val="-5"/>
        </w:rPr>
        <w:t> </w:t>
      </w:r>
      <w:r>
        <w:rPr/>
        <w:t>pedagógico</w:t>
      </w:r>
      <w:r>
        <w:rPr>
          <w:spacing w:val="-5"/>
        </w:rPr>
        <w:t> </w:t>
      </w:r>
      <w:r>
        <w:rPr/>
        <w:t>contextualizado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metodologias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alfabetização. O Raízes da Leitura busca consolidar espaços de diálogo entre universidade e comunidades, reconhecendo que os processos educativos</w:t>
      </w:r>
      <w:r>
        <w:rPr>
          <w:spacing w:val="-3"/>
        </w:rPr>
        <w:t> </w:t>
      </w:r>
      <w:r>
        <w:rPr/>
        <w:t>também</w:t>
      </w:r>
      <w:r>
        <w:rPr>
          <w:spacing w:val="-3"/>
        </w:rPr>
        <w:t> </w:t>
      </w:r>
      <w:r>
        <w:rPr/>
        <w:t>são</w:t>
      </w:r>
      <w:r>
        <w:rPr>
          <w:spacing w:val="-3"/>
        </w:rPr>
        <w:t> </w:t>
      </w:r>
      <w:r>
        <w:rPr/>
        <w:t>construídos pelos conhecimentos produzidos nos territórios. Ao incorporar memórias, práticas culturais, narrativas locais e experiências dos participantes como elementos constitutivos da</w:t>
      </w:r>
      <w:r>
        <w:rPr>
          <w:spacing w:val="-4"/>
        </w:rPr>
        <w:t> </w:t>
      </w:r>
      <w:r>
        <w:rPr/>
        <w:t>ação</w:t>
      </w:r>
      <w:r>
        <w:rPr>
          <w:spacing w:val="-4"/>
        </w:rPr>
        <w:t> </w:t>
      </w:r>
      <w:r>
        <w:rPr/>
        <w:t>pedagógica,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projeto</w:t>
      </w:r>
      <w:r>
        <w:rPr>
          <w:spacing w:val="-4"/>
        </w:rPr>
        <w:t> </w:t>
      </w:r>
      <w:r>
        <w:rPr/>
        <w:t>rompe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perspectivas</w:t>
      </w:r>
      <w:r>
        <w:rPr>
          <w:spacing w:val="-4"/>
        </w:rPr>
        <w:t> </w:t>
      </w:r>
      <w:r>
        <w:rPr/>
        <w:t>hierarquizantes do conhecimento e aproxima-se das discussões contemporâneas sobre interculturalidade e justiça cognitiva.</w:t>
      </w:r>
    </w:p>
    <w:p>
      <w:pPr>
        <w:pStyle w:val="BodyText"/>
        <w:spacing w:line="360" w:lineRule="auto"/>
        <w:ind w:left="23" w:right="35"/>
        <w:jc w:val="both"/>
      </w:pPr>
      <w:r>
        <w:rPr/>
        <w:t>A proposta dialoga com os princípios do Encontro de Saberes ao reconhecer </w:t>
      </w:r>
      <w:r>
        <w:rPr/>
        <w:t>que diferentes formas de produzir conhecimento coexistem e devem estabelecer relações horizontais de aprendizagem. Nesse sentido, a alfabetização passa a constituir-se como espaço de valorização das identidades</w:t>
      </w:r>
      <w:r>
        <w:rPr>
          <w:spacing w:val="-3"/>
        </w:rPr>
        <w:t> </w:t>
      </w:r>
      <w:r>
        <w:rPr/>
        <w:t>locais,</w:t>
      </w:r>
      <w:r>
        <w:rPr>
          <w:spacing w:val="-3"/>
        </w:rPr>
        <w:t> </w:t>
      </w:r>
      <w:r>
        <w:rPr/>
        <w:t>fortalecimento</w:t>
      </w:r>
      <w:r>
        <w:rPr>
          <w:spacing w:val="-3"/>
        </w:rPr>
        <w:t> </w:t>
      </w:r>
      <w:r>
        <w:rPr/>
        <w:t>das comunidades e reconhecimento da diversidade cultural presente no Vale do Jequitinhonha. O processo educativo deixa de ser entendido como transmissão unilateral de conteúdos para tornar-se construção coletiva, na qual educadores e educandos compartilham experiências, produzem novos conhecimentos e ressignificam práticas sociais.</w:t>
      </w:r>
    </w:p>
    <w:p>
      <w:pPr>
        <w:pStyle w:val="BodyText"/>
        <w:spacing w:line="360" w:lineRule="auto"/>
        <w:ind w:left="23" w:right="40"/>
        <w:jc w:val="both"/>
      </w:pPr>
      <w:r>
        <w:rPr/>
        <w:t>Do ponto de vista extensionista, o projeto reafirma o princípio da </w:t>
      </w:r>
      <w:r>
        <w:rPr/>
        <w:t>indissociabilidade entre ensino,</w:t>
      </w:r>
      <w:r>
        <w:rPr>
          <w:spacing w:val="-5"/>
        </w:rPr>
        <w:t> </w:t>
      </w:r>
      <w:r>
        <w:rPr/>
        <w:t>pesquisa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extensão,</w:t>
      </w:r>
      <w:r>
        <w:rPr>
          <w:spacing w:val="-5"/>
        </w:rPr>
        <w:t> </w:t>
      </w:r>
      <w:r>
        <w:rPr/>
        <w:t>promovendo</w:t>
      </w:r>
      <w:r>
        <w:rPr>
          <w:spacing w:val="-5"/>
        </w:rPr>
        <w:t> </w:t>
      </w:r>
      <w:r>
        <w:rPr/>
        <w:t>formação</w:t>
      </w:r>
      <w:r>
        <w:rPr>
          <w:spacing w:val="-5"/>
        </w:rPr>
        <w:t> </w:t>
      </w:r>
      <w:r>
        <w:rPr/>
        <w:t>acadêmica</w:t>
      </w:r>
      <w:r>
        <w:rPr>
          <w:spacing w:val="-5"/>
        </w:rPr>
        <w:t> </w:t>
      </w:r>
      <w:r>
        <w:rPr/>
        <w:t>comprometida com</w:t>
      </w:r>
      <w:r>
        <w:rPr>
          <w:spacing w:val="13"/>
        </w:rPr>
        <w:t> </w:t>
      </w:r>
      <w:r>
        <w:rPr/>
        <w:t>as demandas sociais e com a transformação dos territórios. Para os </w:t>
      </w:r>
      <w:r>
        <w:rPr>
          <w:spacing w:val="-2"/>
        </w:rPr>
        <w:t>estudantes</w:t>
      </w:r>
    </w:p>
    <w:p>
      <w:pPr>
        <w:pStyle w:val="BodyText"/>
        <w:spacing w:after="0" w:line="360" w:lineRule="auto"/>
        <w:jc w:val="both"/>
        <w:sectPr>
          <w:pgSz w:w="11920" w:h="16840"/>
          <w:pgMar w:header="0" w:footer="799" w:top="0" w:bottom="980" w:left="1417" w:right="1417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5915025</wp:posOffset>
            </wp:positionH>
            <wp:positionV relativeFrom="page">
              <wp:posOffset>9344025</wp:posOffset>
            </wp:positionV>
            <wp:extent cx="1654175" cy="134937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6705600</wp:posOffset>
            </wp:positionH>
            <wp:positionV relativeFrom="page">
              <wp:posOffset>152400</wp:posOffset>
            </wp:positionV>
            <wp:extent cx="666750" cy="7620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19100" cy="106934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spacing w:line="360" w:lineRule="auto" w:before="1"/>
        <w:ind w:left="23" w:right="36"/>
        <w:jc w:val="both"/>
      </w:pPr>
      <w:r>
        <w:rPr/>
        <w:t>universitários envolvidos, a participação possibilita experiências formativas que articulam conhecimentos científicos, práticas pedagógicas e diálogo </w:t>
      </w:r>
      <w:r>
        <w:rPr/>
        <w:t>intercultural, contribuindo para uma atuação profissional ética, crítica e socialmente </w:t>
      </w:r>
      <w:r>
        <w:rPr>
          <w:spacing w:val="-2"/>
        </w:rPr>
        <w:t>comprometida.</w:t>
      </w:r>
    </w:p>
    <w:p>
      <w:pPr>
        <w:pStyle w:val="BodyText"/>
        <w:spacing w:line="360" w:lineRule="auto"/>
        <w:ind w:left="23" w:right="37"/>
        <w:jc w:val="both"/>
      </w:pPr>
      <w:r>
        <w:rPr/>
        <w:t>Espera-se que as ações contribuam para ampliar o acesso à alfabetização </w:t>
      </w:r>
      <w:r>
        <w:rPr/>
        <w:t>de jovens, adultos e idosos, fortalecer vínculos entre universidade e comunidade e estimular práticas educativas comprometidas com a redução das desigualdades educacionais. Ao reconhecer os sujeitos como produtores de conhecimento e protagonistas de seus processos formativos, o projeto reafirma a educação popular como estratégia de construção da cidadania, promoção da justiça social e fortalecimento dos saberes tradicionais presentes nos territórios do Vale do </w:t>
      </w:r>
      <w:r>
        <w:rPr>
          <w:spacing w:val="-2"/>
        </w:rPr>
        <w:t>Jequitinhonha.</w:t>
      </w:r>
    </w:p>
    <w:p>
      <w:pPr>
        <w:spacing w:before="240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PALAVRAS-</w:t>
      </w:r>
      <w:r>
        <w:rPr>
          <w:rFonts w:ascii="Arial"/>
          <w:b/>
          <w:spacing w:val="-2"/>
          <w:sz w:val="24"/>
        </w:rPr>
        <w:t>CHAVE</w:t>
      </w:r>
    </w:p>
    <w:p>
      <w:pPr>
        <w:spacing w:before="138"/>
        <w:ind w:left="23" w:right="0" w:firstLine="0"/>
        <w:jc w:val="left"/>
        <w:rPr>
          <w:sz w:val="22"/>
        </w:rPr>
      </w:pPr>
      <w:r>
        <w:rPr>
          <w:sz w:val="22"/>
        </w:rPr>
        <w:t>Educação</w:t>
      </w:r>
      <w:r>
        <w:rPr>
          <w:spacing w:val="40"/>
          <w:sz w:val="22"/>
        </w:rPr>
        <w:t> </w:t>
      </w:r>
      <w:r>
        <w:rPr>
          <w:sz w:val="22"/>
        </w:rPr>
        <w:t>Popular;</w:t>
      </w:r>
      <w:r>
        <w:rPr>
          <w:spacing w:val="40"/>
          <w:sz w:val="22"/>
        </w:rPr>
        <w:t> </w:t>
      </w:r>
      <w:r>
        <w:rPr>
          <w:sz w:val="22"/>
        </w:rPr>
        <w:t>Alfabetização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Jovens</w:t>
      </w:r>
      <w:r>
        <w:rPr>
          <w:spacing w:val="40"/>
          <w:sz w:val="22"/>
        </w:rPr>
        <w:t> </w:t>
      </w:r>
      <w:r>
        <w:rPr>
          <w:sz w:val="22"/>
        </w:rPr>
        <w:t>e</w:t>
      </w:r>
      <w:r>
        <w:rPr>
          <w:spacing w:val="40"/>
          <w:sz w:val="22"/>
        </w:rPr>
        <w:t> </w:t>
      </w:r>
      <w:r>
        <w:rPr>
          <w:sz w:val="22"/>
        </w:rPr>
        <w:t>Adultos;</w:t>
      </w:r>
      <w:r>
        <w:rPr>
          <w:spacing w:val="40"/>
          <w:sz w:val="22"/>
        </w:rPr>
        <w:t> </w:t>
      </w:r>
      <w:r>
        <w:rPr>
          <w:sz w:val="22"/>
        </w:rPr>
        <w:t>Encontro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Saberes;</w:t>
      </w:r>
      <w:r>
        <w:rPr>
          <w:spacing w:val="40"/>
          <w:sz w:val="22"/>
        </w:rPr>
        <w:t> </w:t>
      </w:r>
      <w:r>
        <w:rPr>
          <w:sz w:val="22"/>
        </w:rPr>
        <w:t>Extensão Universitária; Vale do Jequitinhonha.</w:t>
      </w:r>
    </w:p>
    <w:p>
      <w:pPr>
        <w:pStyle w:val="BodyText"/>
        <w:rPr>
          <w:sz w:val="22"/>
        </w:rPr>
      </w:pPr>
    </w:p>
    <w:p>
      <w:pPr>
        <w:pStyle w:val="BodyText"/>
        <w:spacing w:before="45"/>
        <w:rPr>
          <w:sz w:val="22"/>
        </w:rPr>
      </w:pPr>
    </w:p>
    <w:p>
      <w:pPr>
        <w:spacing w:before="1"/>
        <w:ind w:left="23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REFERÊNCIAS</w:t>
      </w:r>
    </w:p>
    <w:p>
      <w:pPr>
        <w:spacing w:before="276"/>
        <w:ind w:left="23" w:right="0" w:firstLine="0"/>
        <w:jc w:val="left"/>
        <w:rPr>
          <w:sz w:val="24"/>
        </w:rPr>
      </w:pPr>
      <w:r>
        <w:rPr>
          <w:sz w:val="24"/>
        </w:rPr>
        <w:t>FREIRE,</w:t>
      </w:r>
      <w:r>
        <w:rPr>
          <w:spacing w:val="-3"/>
          <w:sz w:val="24"/>
        </w:rPr>
        <w:t> </w:t>
      </w:r>
      <w:r>
        <w:rPr>
          <w:sz w:val="24"/>
        </w:rPr>
        <w:t>Paulo.</w:t>
      </w:r>
      <w:r>
        <w:rPr>
          <w:spacing w:val="-2"/>
          <w:sz w:val="24"/>
        </w:rPr>
        <w:t> </w:t>
      </w:r>
      <w:r>
        <w:rPr>
          <w:rFonts w:ascii="Arial"/>
          <w:i/>
          <w:sz w:val="24"/>
        </w:rPr>
        <w:t>Pedagogia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do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sz w:val="24"/>
        </w:rPr>
        <w:t>oprimido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Rio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Janeiro:</w:t>
      </w:r>
      <w:r>
        <w:rPr>
          <w:spacing w:val="-2"/>
          <w:sz w:val="24"/>
        </w:rPr>
        <w:t> </w:t>
      </w:r>
      <w:r>
        <w:rPr>
          <w:sz w:val="24"/>
        </w:rPr>
        <w:t>Paz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Terra,</w:t>
      </w:r>
      <w:r>
        <w:rPr>
          <w:spacing w:val="-2"/>
          <w:sz w:val="24"/>
        </w:rPr>
        <w:t> 1970.</w:t>
      </w:r>
    </w:p>
    <w:p>
      <w:pPr>
        <w:spacing w:before="200"/>
        <w:ind w:left="23" w:right="0" w:firstLine="0"/>
        <w:jc w:val="left"/>
        <w:rPr>
          <w:sz w:val="24"/>
        </w:rPr>
      </w:pPr>
      <w:r>
        <w:rPr>
          <w:sz w:val="24"/>
        </w:rPr>
        <w:t>FREIRE,</w:t>
      </w:r>
      <w:r>
        <w:rPr>
          <w:spacing w:val="-5"/>
          <w:sz w:val="24"/>
        </w:rPr>
        <w:t> </w:t>
      </w:r>
      <w:r>
        <w:rPr>
          <w:sz w:val="24"/>
        </w:rPr>
        <w:t>Paulo.</w:t>
      </w:r>
      <w:r>
        <w:rPr>
          <w:spacing w:val="-5"/>
          <w:sz w:val="24"/>
        </w:rPr>
        <w:t> </w:t>
      </w:r>
      <w:r>
        <w:rPr>
          <w:rFonts w:ascii="Arial" w:hAnsi="Arial"/>
          <w:i/>
          <w:sz w:val="24"/>
        </w:rPr>
        <w:t>Pedagogia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da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autonomia: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saberes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necessários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à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prática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educativa</w:t>
      </w:r>
      <w:r>
        <w:rPr>
          <w:sz w:val="24"/>
        </w:rPr>
        <w:t>. São Paulo: Paz e Terra, 1996.</w:t>
      </w:r>
    </w:p>
    <w:p>
      <w:pPr>
        <w:pStyle w:val="BodyText"/>
        <w:spacing w:before="200"/>
        <w:ind w:left="23"/>
      </w:pPr>
      <w:r>
        <w:rPr/>
        <w:t>INSTITUTO</w:t>
      </w:r>
      <w:r>
        <w:rPr>
          <w:spacing w:val="-6"/>
        </w:rPr>
        <w:t> </w:t>
      </w:r>
      <w:r>
        <w:rPr/>
        <w:t>BRASILEIRO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GEOGRAFIA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ESTATÍSTICA</w:t>
      </w:r>
      <w:r>
        <w:rPr>
          <w:spacing w:val="-6"/>
        </w:rPr>
        <w:t> </w:t>
      </w:r>
      <w:r>
        <w:rPr/>
        <w:t>(IBGE).</w:t>
      </w:r>
      <w:r>
        <w:rPr>
          <w:spacing w:val="-5"/>
        </w:rPr>
        <w:t> </w:t>
      </w:r>
      <w:r>
        <w:rPr>
          <w:spacing w:val="-2"/>
        </w:rPr>
        <w:t>Pesquisa</w:t>
      </w:r>
    </w:p>
    <w:p>
      <w:pPr>
        <w:pStyle w:val="BodyText"/>
        <w:ind w:left="23"/>
      </w:pPr>
      <w:r>
        <w:rPr/>
        <w:t>Nacional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Amostra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Domicílios</w:t>
      </w:r>
      <w:r>
        <w:rPr>
          <w:spacing w:val="-4"/>
        </w:rPr>
        <w:t> </w:t>
      </w:r>
      <w:r>
        <w:rPr/>
        <w:t>Contínua:</w:t>
      </w:r>
      <w:r>
        <w:rPr>
          <w:spacing w:val="-4"/>
        </w:rPr>
        <w:t> </w:t>
      </w:r>
      <w:r>
        <w:rPr/>
        <w:t>2024.</w:t>
      </w:r>
      <w:r>
        <w:rPr>
          <w:spacing w:val="-4"/>
        </w:rPr>
        <w:t> </w:t>
      </w:r>
      <w:r>
        <w:rPr/>
        <w:t>Rio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Janeiro:</w:t>
      </w:r>
      <w:r>
        <w:rPr>
          <w:spacing w:val="-4"/>
        </w:rPr>
        <w:t> </w:t>
      </w:r>
      <w:r>
        <w:rPr/>
        <w:t>IBGE,</w:t>
      </w:r>
      <w:r>
        <w:rPr>
          <w:spacing w:val="-4"/>
        </w:rPr>
        <w:t> </w:t>
      </w:r>
      <w:r>
        <w:rPr/>
        <w:t>2024. Disponível em:</w:t>
      </w:r>
    </w:p>
    <w:p>
      <w:pPr>
        <w:pStyle w:val="BodyText"/>
        <w:ind w:left="23" w:right="47"/>
      </w:pPr>
      <w:hyperlink r:id="rId12">
        <w:r>
          <w:rPr>
            <w:spacing w:val="-2"/>
          </w:rPr>
          <w:t>https://www.ibge.gov.br/estatisticas/sociais/saude/9173-pesquisa-nacional-por-</w:t>
        </w:r>
        <w:r>
          <w:rPr>
            <w:spacing w:val="-2"/>
          </w:rPr>
          <w:t>amost</w:t>
        </w:r>
      </w:hyperlink>
      <w:r>
        <w:rPr>
          <w:spacing w:val="-2"/>
        </w:rPr>
        <w:t> </w:t>
      </w:r>
      <w:r>
        <w:rPr/>
        <w:t>ra-de-domicilios-continua-trimestral.html. Acesso em: 15 jul. 2026.</w:t>
      </w:r>
    </w:p>
    <w:sectPr>
      <w:pgSz w:w="11920" w:h="16840"/>
      <w:pgMar w:header="0" w:footer="799" w:top="0" w:bottom="9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3056">
              <wp:simplePos x="0" y="0"/>
              <wp:positionH relativeFrom="page">
                <wp:posOffset>3703080</wp:posOffset>
              </wp:positionH>
              <wp:positionV relativeFrom="page">
                <wp:posOffset>10046507</wp:posOffset>
              </wp:positionV>
              <wp:extent cx="1670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581116pt;margin-top:791.063599pt;width:13.15pt;height:14.3pt;mso-position-horizontal-relative:page;mso-position-vertical-relative:page;z-index:-15783424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mailto:paula.cristina@ufvjm.edu.br" TargetMode="External"/><Relationship Id="rId10" Type="http://schemas.openxmlformats.org/officeDocument/2006/relationships/hyperlink" Target="mailto:rian.figueiro@ufvjm.edu.br" TargetMode="External"/><Relationship Id="rId11" Type="http://schemas.openxmlformats.org/officeDocument/2006/relationships/hyperlink" Target="mailto:nadia.jorge@ufvjm.edu.br" TargetMode="External"/><Relationship Id="rId12" Type="http://schemas.openxmlformats.org/officeDocument/2006/relationships/hyperlink" Target="https://www.ibge.gov.br/estatisticas/sociais/saude/9173-pesquisa-nacional-por-amos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Narrativas Raízes 2026.docx</dc:title>
  <dcterms:created xsi:type="dcterms:W3CDTF">2026-07-28T20:12:46Z</dcterms:created>
  <dcterms:modified xsi:type="dcterms:W3CDTF">2026-07-28T20:12:46Z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2026-07-28T00:00:00Z</vt:filetime>
  </property>
</Properties>
</file>