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62E5" w14:textId="2930AEC8" w:rsidR="006249C4" w:rsidRDefault="00402AB6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402AB6"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 xml:space="preserve">ONVERSATÓRIO </w:t>
      </w:r>
      <w:r w:rsidRPr="00402AB6">
        <w:rPr>
          <w:b/>
          <w:bCs/>
          <w:sz w:val="24"/>
          <w:szCs w:val="24"/>
        </w:rPr>
        <w:t xml:space="preserve">7 - </w:t>
      </w:r>
      <w:r w:rsidR="00141E32">
        <w:rPr>
          <w:b/>
          <w:bCs/>
          <w:sz w:val="24"/>
          <w:szCs w:val="24"/>
        </w:rPr>
        <w:t>EDUCAÇÃO ANTIRRACISTA NA EDUCAÇÃO BÁSICA: EDUCANDO PARA AS RELAÇÕES ÉTNICO-RACIAIS</w:t>
      </w:r>
    </w:p>
    <w:p w14:paraId="66B18F5E" w14:textId="1B0415D3" w:rsidR="006249C4" w:rsidRDefault="006249C4">
      <w:pPr>
        <w:keepLines/>
        <w:widowControl w:val="0"/>
        <w:spacing w:line="240" w:lineRule="auto"/>
        <w:rPr>
          <w:sz w:val="24"/>
          <w:szCs w:val="24"/>
        </w:rPr>
      </w:pPr>
    </w:p>
    <w:p w14:paraId="251FDEC1" w14:textId="77777777" w:rsidR="00141E32" w:rsidRDefault="00141E3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4D602E8" w14:textId="77777777" w:rsidR="006249C4" w:rsidRDefault="006249C4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13A5E7D" w14:textId="63EB9F02" w:rsidR="006249C4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141E32">
        <w:rPr>
          <w:b/>
          <w:bCs/>
          <w:sz w:val="24"/>
          <w:szCs w:val="24"/>
        </w:rPr>
        <w:t>A armadilha da média e a invisibilidade nos resultados de evasão escolar de estudantes indígenas e quilombolas (2022 – 2024)</w:t>
      </w:r>
    </w:p>
    <w:p w14:paraId="3734C8EC" w14:textId="77777777" w:rsidR="006249C4" w:rsidRDefault="006249C4">
      <w:pPr>
        <w:keepLines/>
        <w:widowControl w:val="0"/>
        <w:spacing w:line="240" w:lineRule="auto"/>
        <w:rPr>
          <w:sz w:val="24"/>
          <w:szCs w:val="24"/>
        </w:rPr>
      </w:pPr>
    </w:p>
    <w:p w14:paraId="7B05E721" w14:textId="77777777" w:rsidR="00141E32" w:rsidRDefault="00141E32">
      <w:pPr>
        <w:keepLines/>
        <w:widowControl w:val="0"/>
        <w:spacing w:line="240" w:lineRule="auto"/>
        <w:rPr>
          <w:sz w:val="24"/>
          <w:szCs w:val="24"/>
        </w:rPr>
      </w:pPr>
    </w:p>
    <w:p w14:paraId="7F0CCD70" w14:textId="77777777" w:rsidR="006249C4" w:rsidRDefault="006249C4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29323B5F" w14:textId="4408CFD8" w:rsidR="006249C4" w:rsidRDefault="00141E32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Joelson dos Santos Silva, UFES, </w:t>
      </w:r>
      <w:r w:rsidRPr="00141E32">
        <w:rPr>
          <w:sz w:val="24"/>
          <w:szCs w:val="24"/>
        </w:rPr>
        <w:t>joelson.silva@edu.ufes.br</w:t>
      </w:r>
    </w:p>
    <w:p w14:paraId="071C84C1" w14:textId="798BF737" w:rsidR="006249C4" w:rsidRDefault="00141E32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Patrícia Gomes Rufino Andrade, UFES, </w:t>
      </w:r>
      <w:r w:rsidRPr="00141E32">
        <w:rPr>
          <w:sz w:val="24"/>
          <w:szCs w:val="24"/>
        </w:rPr>
        <w:t>patricia.andrade@ufes.br</w:t>
      </w:r>
    </w:p>
    <w:p w14:paraId="48B5A4CF" w14:textId="77777777" w:rsidR="006249C4" w:rsidRDefault="006249C4">
      <w:pPr>
        <w:keepLines/>
        <w:widowControl w:val="0"/>
        <w:spacing w:line="240" w:lineRule="auto"/>
        <w:rPr>
          <w:sz w:val="24"/>
          <w:szCs w:val="24"/>
        </w:rPr>
      </w:pPr>
    </w:p>
    <w:p w14:paraId="7B808817" w14:textId="77777777" w:rsidR="006249C4" w:rsidRDefault="006249C4">
      <w:pPr>
        <w:keepLines/>
        <w:widowControl w:val="0"/>
        <w:spacing w:line="240" w:lineRule="auto"/>
        <w:rPr>
          <w:sz w:val="24"/>
          <w:szCs w:val="24"/>
        </w:rPr>
      </w:pPr>
    </w:p>
    <w:p w14:paraId="0CF1D3F8" w14:textId="77777777" w:rsidR="006249C4" w:rsidRDefault="006249C4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19433A6" w14:textId="1607FB1D" w:rsidR="006249C4" w:rsidRDefault="00000000" w:rsidP="00D06C6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2BFC4A36" w14:textId="77777777" w:rsidR="00FF1A35" w:rsidRDefault="00141E32" w:rsidP="00E520F1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presente </w:t>
      </w:r>
      <w:r w:rsidR="00EA6CD1">
        <w:rPr>
          <w:sz w:val="24"/>
          <w:szCs w:val="24"/>
        </w:rPr>
        <w:t>trabalho</w:t>
      </w:r>
      <w:r>
        <w:rPr>
          <w:sz w:val="24"/>
          <w:szCs w:val="24"/>
        </w:rPr>
        <w:t xml:space="preserve"> </w:t>
      </w:r>
      <w:r w:rsidR="00EA6CD1">
        <w:rPr>
          <w:sz w:val="24"/>
          <w:szCs w:val="24"/>
        </w:rPr>
        <w:t>analisa</w:t>
      </w:r>
      <w:r>
        <w:rPr>
          <w:sz w:val="24"/>
          <w:szCs w:val="24"/>
        </w:rPr>
        <w:t xml:space="preserve"> criticamente</w:t>
      </w:r>
      <w:r w:rsidR="00EA6CD1"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 visibilidade estatística da exclusão</w:t>
      </w:r>
      <w:r w:rsidR="007D4D9A">
        <w:rPr>
          <w:sz w:val="24"/>
          <w:szCs w:val="24"/>
        </w:rPr>
        <w:t>, evasão e abandono escolar</w:t>
      </w:r>
      <w:r>
        <w:rPr>
          <w:sz w:val="24"/>
          <w:szCs w:val="24"/>
        </w:rPr>
        <w:t xml:space="preserve"> de estudantes indígenas e quilombolas na educação básica </w:t>
      </w:r>
      <w:r w:rsidR="0070558E">
        <w:rPr>
          <w:sz w:val="24"/>
          <w:szCs w:val="24"/>
        </w:rPr>
        <w:t>brasileira</w:t>
      </w:r>
      <w:r>
        <w:rPr>
          <w:sz w:val="24"/>
          <w:szCs w:val="24"/>
        </w:rPr>
        <w:t xml:space="preserve">, </w:t>
      </w:r>
      <w:r w:rsidR="008D1A19">
        <w:rPr>
          <w:sz w:val="24"/>
          <w:szCs w:val="24"/>
        </w:rPr>
        <w:t>com base</w:t>
      </w:r>
      <w:r>
        <w:rPr>
          <w:sz w:val="24"/>
          <w:szCs w:val="24"/>
        </w:rPr>
        <w:t xml:space="preserve"> nos Resumos Técnicos e </w:t>
      </w:r>
      <w:r w:rsidR="008D1A19">
        <w:rPr>
          <w:sz w:val="24"/>
          <w:szCs w:val="24"/>
        </w:rPr>
        <w:t>n</w:t>
      </w:r>
      <w:r>
        <w:rPr>
          <w:sz w:val="24"/>
          <w:szCs w:val="24"/>
        </w:rPr>
        <w:t xml:space="preserve">as Apresentações Coletivas do Censo Escolar (2022 a 2024) elaborados </w:t>
      </w:r>
      <w:r w:rsidR="003E04D2" w:rsidRPr="003E04D2">
        <w:rPr>
          <w:sz w:val="24"/>
          <w:szCs w:val="24"/>
        </w:rPr>
        <w:t>pelo Instituto Nacional de Estudo</w:t>
      </w:r>
      <w:r w:rsidR="0070558E">
        <w:rPr>
          <w:sz w:val="24"/>
          <w:szCs w:val="24"/>
        </w:rPr>
        <w:t>s</w:t>
      </w:r>
      <w:r w:rsidR="003E04D2" w:rsidRPr="003E04D2">
        <w:rPr>
          <w:sz w:val="24"/>
          <w:szCs w:val="24"/>
        </w:rPr>
        <w:t xml:space="preserve"> e Pesquisas Educacionais Anísio Teixeira (Inep)</w:t>
      </w:r>
      <w:r>
        <w:rPr>
          <w:sz w:val="24"/>
          <w:szCs w:val="24"/>
        </w:rPr>
        <w:t xml:space="preserve">. </w:t>
      </w:r>
      <w:r w:rsidR="007D4D9A">
        <w:rPr>
          <w:sz w:val="24"/>
          <w:szCs w:val="24"/>
        </w:rPr>
        <w:t>O problema de pesquisa investiga como a agregação e a divulgação de dados oficiais pelo sistema Educacenso</w:t>
      </w:r>
      <w:r w:rsidR="00EE2684">
        <w:rPr>
          <w:sz w:val="24"/>
          <w:szCs w:val="24"/>
        </w:rPr>
        <w:t xml:space="preserve"> (Brasil, 2018</w:t>
      </w:r>
      <w:r w:rsidR="000F5747">
        <w:rPr>
          <w:sz w:val="24"/>
          <w:szCs w:val="24"/>
        </w:rPr>
        <w:t>, p. 93</w:t>
      </w:r>
      <w:r w:rsidR="00EE2684">
        <w:rPr>
          <w:sz w:val="24"/>
          <w:szCs w:val="24"/>
        </w:rPr>
        <w:t>)</w:t>
      </w:r>
      <w:r w:rsidR="007D4D9A">
        <w:rPr>
          <w:sz w:val="24"/>
          <w:szCs w:val="24"/>
        </w:rPr>
        <w:t xml:space="preserve"> podem </w:t>
      </w:r>
      <w:r w:rsidR="003E04D2">
        <w:rPr>
          <w:sz w:val="24"/>
          <w:szCs w:val="24"/>
        </w:rPr>
        <w:t>invisibilizar as trajetórias escolares dessas populações, fenômeno conceituado como “armadilha da média”.</w:t>
      </w:r>
      <w:r w:rsidR="007D4D9A">
        <w:rPr>
          <w:sz w:val="24"/>
          <w:szCs w:val="24"/>
        </w:rPr>
        <w:t xml:space="preserve"> Trata-se de uma pesquisa documental de abordagem mista, que combina estatística descritiva de variáveis de fluxo escolar (evasão, repetência, distorção idade-série) com uma interpretação qualitativa fundamentada na sociologia da educação e nos estudos coloniais.</w:t>
      </w:r>
      <w:r w:rsidR="008D1A19">
        <w:rPr>
          <w:sz w:val="24"/>
          <w:szCs w:val="24"/>
        </w:rPr>
        <w:t xml:space="preserve"> O</w:t>
      </w:r>
      <w:r w:rsidR="007D4D9A">
        <w:rPr>
          <w:sz w:val="24"/>
          <w:szCs w:val="24"/>
        </w:rPr>
        <w:t xml:space="preserve"> triênio (2022 </w:t>
      </w:r>
      <w:r w:rsidR="00EA6CD1">
        <w:rPr>
          <w:sz w:val="24"/>
          <w:szCs w:val="24"/>
        </w:rPr>
        <w:t xml:space="preserve">a </w:t>
      </w:r>
      <w:r w:rsidR="007D4D9A">
        <w:rPr>
          <w:sz w:val="24"/>
          <w:szCs w:val="24"/>
        </w:rPr>
        <w:t xml:space="preserve">2024) </w:t>
      </w:r>
      <w:r w:rsidR="008D1A19">
        <w:rPr>
          <w:sz w:val="24"/>
          <w:szCs w:val="24"/>
        </w:rPr>
        <w:t xml:space="preserve">abrange o </w:t>
      </w:r>
      <w:r w:rsidR="007D4D9A">
        <w:rPr>
          <w:sz w:val="24"/>
          <w:szCs w:val="24"/>
        </w:rPr>
        <w:t xml:space="preserve">cenário pós-pandêmico e </w:t>
      </w:r>
      <w:r w:rsidR="008D1A19">
        <w:rPr>
          <w:sz w:val="24"/>
          <w:szCs w:val="24"/>
        </w:rPr>
        <w:t xml:space="preserve">o período </w:t>
      </w:r>
      <w:r w:rsidR="007D4D9A">
        <w:rPr>
          <w:sz w:val="24"/>
          <w:szCs w:val="24"/>
        </w:rPr>
        <w:t>posterior à</w:t>
      </w:r>
      <w:r w:rsidR="008D1A19">
        <w:rPr>
          <w:sz w:val="24"/>
          <w:szCs w:val="24"/>
        </w:rPr>
        <w:t xml:space="preserve"> </w:t>
      </w:r>
      <w:r w:rsidR="007D4D9A">
        <w:rPr>
          <w:sz w:val="24"/>
          <w:szCs w:val="24"/>
        </w:rPr>
        <w:t>Resolução CD/FNDE nº 15/2021</w:t>
      </w:r>
      <w:r w:rsidR="008D1A19">
        <w:rPr>
          <w:sz w:val="24"/>
          <w:szCs w:val="24"/>
        </w:rPr>
        <w:t>, que</w:t>
      </w:r>
      <w:r w:rsidR="007D4D9A">
        <w:rPr>
          <w:sz w:val="24"/>
          <w:szCs w:val="24"/>
        </w:rPr>
        <w:t xml:space="preserve"> consolidou o cruzamento sistêmico de dados do Censo Escolar para o cálculo de repasses financeiros como o PDDE</w:t>
      </w:r>
      <w:r w:rsidR="008D1A19">
        <w:rPr>
          <w:rStyle w:val="Refdenotaderodap"/>
          <w:sz w:val="24"/>
          <w:szCs w:val="24"/>
        </w:rPr>
        <w:footnoteReference w:id="1"/>
      </w:r>
      <w:r w:rsidR="007D4D9A">
        <w:rPr>
          <w:sz w:val="24"/>
          <w:szCs w:val="24"/>
        </w:rPr>
        <w:t xml:space="preserve">, </w:t>
      </w:r>
      <w:r w:rsidR="008D1A19">
        <w:rPr>
          <w:sz w:val="24"/>
          <w:szCs w:val="24"/>
        </w:rPr>
        <w:t>ampliando os efeit</w:t>
      </w:r>
      <w:r w:rsidR="007D4D9A">
        <w:rPr>
          <w:sz w:val="24"/>
          <w:szCs w:val="24"/>
        </w:rPr>
        <w:t>os materiais da invisibilidade estatística.</w:t>
      </w:r>
      <w:r w:rsidR="00FF1A35">
        <w:rPr>
          <w:sz w:val="24"/>
          <w:szCs w:val="24"/>
        </w:rPr>
        <w:t xml:space="preserve">  </w:t>
      </w:r>
    </w:p>
    <w:p w14:paraId="441B9B0F" w14:textId="7F8111C0" w:rsidR="00FF1A35" w:rsidRDefault="00FF1A35" w:rsidP="00E520F1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8B0E5D5" w14:textId="6B8D6F86" w:rsidR="00EE2684" w:rsidRDefault="007D4D9A" w:rsidP="00E520F1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Historicamente, a escola brasileira</w:t>
      </w:r>
      <w:r w:rsidR="008D1A19">
        <w:rPr>
          <w:sz w:val="24"/>
          <w:szCs w:val="24"/>
        </w:rPr>
        <w:t xml:space="preserve"> operou segundo</w:t>
      </w:r>
      <w:r>
        <w:rPr>
          <w:sz w:val="24"/>
          <w:szCs w:val="24"/>
        </w:rPr>
        <w:t xml:space="preserve"> uma lógica disciplinar </w:t>
      </w:r>
      <w:r w:rsidR="00FF1A35">
        <w:rPr>
          <w:sz w:val="24"/>
          <w:szCs w:val="24"/>
        </w:rPr>
        <w:t>uniformizadora, normalizando</w:t>
      </w:r>
      <w:r>
        <w:rPr>
          <w:sz w:val="24"/>
          <w:szCs w:val="24"/>
        </w:rPr>
        <w:t xml:space="preserve"> e </w:t>
      </w:r>
      <w:r w:rsidR="00FF1A35">
        <w:rPr>
          <w:sz w:val="24"/>
          <w:szCs w:val="24"/>
        </w:rPr>
        <w:t>apartando identidades divergente</w:t>
      </w:r>
      <w:r>
        <w:rPr>
          <w:sz w:val="24"/>
          <w:szCs w:val="24"/>
        </w:rPr>
        <w:t xml:space="preserve"> do padrão eurocêntrico</w:t>
      </w:r>
      <w:r w:rsidR="008D1A19">
        <w:rPr>
          <w:sz w:val="24"/>
          <w:szCs w:val="24"/>
        </w:rPr>
        <w:t xml:space="preserve"> e</w:t>
      </w:r>
      <w:r>
        <w:rPr>
          <w:sz w:val="24"/>
          <w:szCs w:val="24"/>
        </w:rPr>
        <w:t xml:space="preserve"> perpetuando desigualdades sociais</w:t>
      </w:r>
      <w:r w:rsidR="00EE2684">
        <w:rPr>
          <w:sz w:val="24"/>
          <w:szCs w:val="24"/>
        </w:rPr>
        <w:t xml:space="preserve"> (Bourdieu; </w:t>
      </w:r>
      <w:proofErr w:type="spellStart"/>
      <w:r w:rsidR="00EE2684">
        <w:rPr>
          <w:sz w:val="24"/>
          <w:szCs w:val="24"/>
        </w:rPr>
        <w:t>Passeron</w:t>
      </w:r>
      <w:proofErr w:type="spellEnd"/>
      <w:r w:rsidR="00EE2684">
        <w:rPr>
          <w:sz w:val="24"/>
          <w:szCs w:val="24"/>
        </w:rPr>
        <w:t>, 2009)</w:t>
      </w:r>
      <w:r>
        <w:rPr>
          <w:sz w:val="24"/>
          <w:szCs w:val="24"/>
        </w:rPr>
        <w:t>. Para as populações indígenas e quilombolas, essa exclusão é estruturada pela matriz da colonialidade do poder e do saber</w:t>
      </w:r>
      <w:r w:rsidR="00EE2684">
        <w:rPr>
          <w:sz w:val="24"/>
          <w:szCs w:val="24"/>
        </w:rPr>
        <w:t xml:space="preserve"> (</w:t>
      </w:r>
      <w:proofErr w:type="spellStart"/>
      <w:r w:rsidR="00EE2684">
        <w:rPr>
          <w:sz w:val="24"/>
          <w:szCs w:val="24"/>
        </w:rPr>
        <w:t>Quijano</w:t>
      </w:r>
      <w:proofErr w:type="spellEnd"/>
      <w:r w:rsidR="00EE2684">
        <w:rPr>
          <w:sz w:val="24"/>
          <w:szCs w:val="24"/>
        </w:rPr>
        <w:t>, 2005)</w:t>
      </w:r>
      <w:r>
        <w:rPr>
          <w:sz w:val="24"/>
          <w:szCs w:val="24"/>
        </w:rPr>
        <w:t>, que impõe currículos desvinculados das realidades territoriais. Nesse cenário, o uso institucional de médias nacionais e categorias genéricas (como o antigo agrupamento “Amarelo/Indígena”) atua como uma “política do esquecimento”</w:t>
      </w:r>
      <w:r w:rsidR="00EE2684">
        <w:rPr>
          <w:sz w:val="24"/>
          <w:szCs w:val="24"/>
        </w:rPr>
        <w:t xml:space="preserve"> (</w:t>
      </w:r>
      <w:r w:rsidR="00300009" w:rsidRPr="00300009">
        <w:rPr>
          <w:sz w:val="24"/>
          <w:szCs w:val="24"/>
        </w:rPr>
        <w:t xml:space="preserve">Figueredo; </w:t>
      </w:r>
      <w:proofErr w:type="spellStart"/>
      <w:r w:rsidR="00300009" w:rsidRPr="00300009">
        <w:rPr>
          <w:sz w:val="24"/>
          <w:szCs w:val="24"/>
        </w:rPr>
        <w:t>Grosfoguel</w:t>
      </w:r>
      <w:proofErr w:type="spellEnd"/>
      <w:r w:rsidR="00300009" w:rsidRPr="00300009">
        <w:rPr>
          <w:sz w:val="24"/>
          <w:szCs w:val="24"/>
        </w:rPr>
        <w:t>, 2007</w:t>
      </w:r>
      <w:r w:rsidR="00EE2684">
        <w:rPr>
          <w:sz w:val="24"/>
          <w:szCs w:val="24"/>
        </w:rPr>
        <w:t>). A ideologia da mestiçagem serviu como instrumento do “processo de branqueamento”, criando o mito da “democracia racial” que apaga as especificidades epistêmicas e identitárias de povos negros e originários (Munanga, 1999, p. 80-110). Ao esconder disparidades cruéis por trás de taxas médias globalizadas, o Estado pratica o que a teoria crítica denomina de “presença ausente” (Apple, 2001)</w:t>
      </w:r>
      <w:r w:rsidR="003E04D2">
        <w:rPr>
          <w:sz w:val="24"/>
          <w:szCs w:val="24"/>
        </w:rPr>
        <w:t>. Tomando como referência os dados mais recentes do Censo Escolar de 2024, observa-se que a média nacional de atraso escolar (distorção idade-série) no 6</w:t>
      </w:r>
      <w:r w:rsidR="005259EA">
        <w:rPr>
          <w:sz w:val="24"/>
          <w:szCs w:val="24"/>
        </w:rPr>
        <w:t xml:space="preserve">º </w:t>
      </w:r>
      <w:r w:rsidR="003E04D2">
        <w:rPr>
          <w:sz w:val="24"/>
          <w:szCs w:val="24"/>
        </w:rPr>
        <w:t>ano do Ensino Fundamental foi de 15%</w:t>
      </w:r>
      <w:r w:rsidR="000F5747">
        <w:rPr>
          <w:sz w:val="24"/>
          <w:szCs w:val="24"/>
        </w:rPr>
        <w:t xml:space="preserve"> </w:t>
      </w:r>
      <w:r w:rsidR="000F5747" w:rsidRPr="000F5747">
        <w:rPr>
          <w:sz w:val="24"/>
          <w:szCs w:val="24"/>
        </w:rPr>
        <w:t>(Brasil, 2025a, p. 56)</w:t>
      </w:r>
      <w:r w:rsidR="003E04D2">
        <w:rPr>
          <w:sz w:val="24"/>
          <w:szCs w:val="24"/>
        </w:rPr>
        <w:t>. Contudo, quando o recorte étnico-racial e territorial é aplicado aos dados, a severidade da exclusão é revelada: enquanto estudantes brancos apresentam uma taxa de distorção de apenas 8,9%, o índice salta drasticamente para 27,8% entre estudantes quilombolas e atinge a alarmante marca de 37,6% na educação indígena</w:t>
      </w:r>
      <w:r w:rsidR="00EE2684">
        <w:rPr>
          <w:sz w:val="24"/>
          <w:szCs w:val="24"/>
        </w:rPr>
        <w:t xml:space="preserve"> (</w:t>
      </w:r>
      <w:r w:rsidR="0026329E" w:rsidRPr="0026329E">
        <w:rPr>
          <w:sz w:val="24"/>
          <w:szCs w:val="24"/>
        </w:rPr>
        <w:t>Brasil, 2025a, p. 56</w:t>
      </w:r>
      <w:r w:rsidR="00EE2684">
        <w:rPr>
          <w:sz w:val="24"/>
          <w:szCs w:val="24"/>
        </w:rPr>
        <w:t>)</w:t>
      </w:r>
      <w:r w:rsidR="003E04D2">
        <w:rPr>
          <w:sz w:val="24"/>
          <w:szCs w:val="24"/>
        </w:rPr>
        <w:t xml:space="preserve">. </w:t>
      </w:r>
      <w:r w:rsidR="008D1A19">
        <w:rPr>
          <w:sz w:val="24"/>
          <w:szCs w:val="24"/>
        </w:rPr>
        <w:t xml:space="preserve">Assim, estudantes indígenas ou quilombolas têm de três a quatro vezes mais chances de atraso escolar que estudantes </w:t>
      </w:r>
      <w:r w:rsidR="003E04D2">
        <w:rPr>
          <w:sz w:val="24"/>
          <w:szCs w:val="24"/>
        </w:rPr>
        <w:t>branco</w:t>
      </w:r>
      <w:r w:rsidR="008D1A19">
        <w:rPr>
          <w:sz w:val="24"/>
          <w:szCs w:val="24"/>
        </w:rPr>
        <w:t>s</w:t>
      </w:r>
      <w:r w:rsidR="005259EA">
        <w:rPr>
          <w:sz w:val="24"/>
          <w:szCs w:val="24"/>
        </w:rPr>
        <w:t>.</w:t>
      </w:r>
      <w:r w:rsidR="008D1A19">
        <w:rPr>
          <w:sz w:val="24"/>
          <w:szCs w:val="24"/>
        </w:rPr>
        <w:t xml:space="preserve"> A Seletividade também aparece nos dados de evasão</w:t>
      </w:r>
      <w:r w:rsidR="0011126D">
        <w:rPr>
          <w:sz w:val="24"/>
          <w:szCs w:val="24"/>
        </w:rPr>
        <w:t>. Os dados de 2023 mostram que, no Ensino Fundamental, a média nacional de evasão foi de 3,0%</w:t>
      </w:r>
      <w:r w:rsidR="00EE2684">
        <w:rPr>
          <w:sz w:val="24"/>
          <w:szCs w:val="24"/>
        </w:rPr>
        <w:t xml:space="preserve"> (</w:t>
      </w:r>
      <w:r w:rsidR="000F5747" w:rsidRPr="000F5747">
        <w:rPr>
          <w:sz w:val="24"/>
          <w:szCs w:val="24"/>
        </w:rPr>
        <w:t>Brasil, 2023b</w:t>
      </w:r>
      <w:r w:rsidR="00396FE3">
        <w:rPr>
          <w:sz w:val="24"/>
          <w:szCs w:val="24"/>
        </w:rPr>
        <w:t>, p.24</w:t>
      </w:r>
      <w:r w:rsidR="000F5747" w:rsidRPr="000F5747">
        <w:rPr>
          <w:sz w:val="24"/>
          <w:szCs w:val="24"/>
        </w:rPr>
        <w:t>)</w:t>
      </w:r>
      <w:r w:rsidR="0011126D">
        <w:rPr>
          <w:sz w:val="24"/>
          <w:szCs w:val="24"/>
        </w:rPr>
        <w:t xml:space="preserve">. Nota-se que os estudantes brancos evadem a uma taxa de 2,1%, enquanto o aluno quilombola evade 4,8% e o aluno indígena a 7,3%. </w:t>
      </w:r>
      <w:r w:rsidR="00EE2684">
        <w:rPr>
          <w:sz w:val="24"/>
          <w:szCs w:val="24"/>
        </w:rPr>
        <w:t>Além disso, etapas de transição mostram gargalos, preocupantes: no 1º ano do Ensino Médio, a taxa de insucesso (reprovação somada ao abandono) atingiu 16,4% em 2022 e 12% em 2023</w:t>
      </w:r>
      <w:r w:rsidR="000662C3">
        <w:rPr>
          <w:sz w:val="24"/>
          <w:szCs w:val="24"/>
        </w:rPr>
        <w:t xml:space="preserve"> (</w:t>
      </w:r>
      <w:r w:rsidR="000662C3" w:rsidRPr="000F5747">
        <w:rPr>
          <w:sz w:val="24"/>
          <w:szCs w:val="24"/>
        </w:rPr>
        <w:t>Brasil, 2023</w:t>
      </w:r>
      <w:r w:rsidR="000662C3">
        <w:rPr>
          <w:sz w:val="24"/>
          <w:szCs w:val="24"/>
        </w:rPr>
        <w:t>a, p.39</w:t>
      </w:r>
      <w:r w:rsidR="000662C3" w:rsidRPr="000F5747">
        <w:rPr>
          <w:sz w:val="24"/>
          <w:szCs w:val="24"/>
        </w:rPr>
        <w:t>)</w:t>
      </w:r>
    </w:p>
    <w:p w14:paraId="5520FB45" w14:textId="77777777" w:rsidR="00F12424" w:rsidRDefault="00EF2FA3" w:rsidP="000F5747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Além disso, os resultados indicam que </w:t>
      </w:r>
      <w:r w:rsidR="00717D65">
        <w:rPr>
          <w:sz w:val="24"/>
          <w:szCs w:val="24"/>
        </w:rPr>
        <w:t>a ausência de ampar</w:t>
      </w:r>
      <w:r w:rsidR="00E520F1">
        <w:rPr>
          <w:sz w:val="24"/>
          <w:szCs w:val="24"/>
        </w:rPr>
        <w:t>o</w:t>
      </w:r>
      <w:r w:rsidR="00717D65">
        <w:rPr>
          <w:sz w:val="24"/>
          <w:szCs w:val="24"/>
        </w:rPr>
        <w:t xml:space="preserve"> resulta na migração precoce para </w:t>
      </w:r>
      <w:r>
        <w:rPr>
          <w:sz w:val="24"/>
          <w:szCs w:val="24"/>
        </w:rPr>
        <w:t xml:space="preserve">a Educação de Jovens e Adultos (EJA). </w:t>
      </w:r>
    </w:p>
    <w:p w14:paraId="442C8C1E" w14:textId="129E11E3" w:rsidR="00EF2FA3" w:rsidRDefault="00EF2FA3" w:rsidP="000F5747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EJA revela-se uma etapa </w:t>
      </w:r>
      <w:r w:rsidR="00717D65">
        <w:rPr>
          <w:sz w:val="24"/>
          <w:szCs w:val="24"/>
        </w:rPr>
        <w:t>de intensa</w:t>
      </w:r>
      <w:r>
        <w:rPr>
          <w:sz w:val="24"/>
          <w:szCs w:val="24"/>
        </w:rPr>
        <w:t xml:space="preserve"> racialização</w:t>
      </w:r>
      <w:r w:rsidR="00717D65">
        <w:rPr>
          <w:sz w:val="24"/>
          <w:szCs w:val="24"/>
        </w:rPr>
        <w:t xml:space="preserve"> das desigualdades educacionais</w:t>
      </w:r>
      <w:r>
        <w:rPr>
          <w:sz w:val="24"/>
          <w:szCs w:val="24"/>
        </w:rPr>
        <w:t xml:space="preserve">: </w:t>
      </w:r>
      <w:r w:rsidR="00717D65">
        <w:rPr>
          <w:sz w:val="24"/>
          <w:szCs w:val="24"/>
        </w:rPr>
        <w:t>no ano</w:t>
      </w:r>
      <w:r>
        <w:rPr>
          <w:sz w:val="24"/>
          <w:szCs w:val="24"/>
        </w:rPr>
        <w:t xml:space="preserve"> 2024, pretos e pardos representavam cerca de 79% das matrículas na EJA de nível fundamental e 73,6% na de nível médio. </w:t>
      </w:r>
      <w:r w:rsidR="00E95E5B">
        <w:rPr>
          <w:sz w:val="24"/>
          <w:szCs w:val="24"/>
        </w:rPr>
        <w:t xml:space="preserve">Paralelamente </w:t>
      </w:r>
      <w:r w:rsidR="00717D65">
        <w:rPr>
          <w:sz w:val="24"/>
          <w:szCs w:val="24"/>
        </w:rPr>
        <w:t>a esse inchaço de corpos racializados</w:t>
      </w:r>
      <w:r>
        <w:rPr>
          <w:sz w:val="24"/>
          <w:szCs w:val="24"/>
        </w:rPr>
        <w:t xml:space="preserve">, o </w:t>
      </w:r>
      <w:r w:rsidR="00717D65">
        <w:rPr>
          <w:sz w:val="24"/>
          <w:szCs w:val="24"/>
        </w:rPr>
        <w:t>C</w:t>
      </w:r>
      <w:r>
        <w:rPr>
          <w:sz w:val="24"/>
          <w:szCs w:val="24"/>
        </w:rPr>
        <w:t xml:space="preserve">enso documenta uma drástica perda de 20,4% </w:t>
      </w:r>
      <w:r w:rsidR="00717D65">
        <w:rPr>
          <w:sz w:val="24"/>
          <w:szCs w:val="24"/>
        </w:rPr>
        <w:t xml:space="preserve">(queda de 3 milhões para 2,4 milhões de alunos) </w:t>
      </w:r>
      <w:r>
        <w:rPr>
          <w:sz w:val="24"/>
          <w:szCs w:val="24"/>
        </w:rPr>
        <w:t>nas matrículas d</w:t>
      </w:r>
      <w:r w:rsidR="00717D65">
        <w:rPr>
          <w:sz w:val="24"/>
          <w:szCs w:val="24"/>
        </w:rPr>
        <w:t>essa</w:t>
      </w:r>
      <w:r>
        <w:rPr>
          <w:sz w:val="24"/>
          <w:szCs w:val="24"/>
        </w:rPr>
        <w:t xml:space="preserve"> modalidade</w:t>
      </w:r>
      <w:r w:rsidR="00717D65">
        <w:rPr>
          <w:sz w:val="24"/>
          <w:szCs w:val="24"/>
        </w:rPr>
        <w:t xml:space="preserve"> </w:t>
      </w:r>
      <w:r>
        <w:rPr>
          <w:sz w:val="24"/>
          <w:szCs w:val="24"/>
        </w:rPr>
        <w:t>entre os anos 2020 e 2024</w:t>
      </w:r>
      <w:r w:rsidR="00717D65">
        <w:rPr>
          <w:sz w:val="24"/>
          <w:szCs w:val="24"/>
        </w:rPr>
        <w:t xml:space="preserve"> </w:t>
      </w:r>
      <w:r w:rsidR="000F5747" w:rsidRPr="000F5747">
        <w:rPr>
          <w:sz w:val="24"/>
          <w:szCs w:val="24"/>
        </w:rPr>
        <w:t>(Brasil,</w:t>
      </w:r>
      <w:r w:rsidR="000F5747">
        <w:rPr>
          <w:sz w:val="24"/>
          <w:szCs w:val="24"/>
        </w:rPr>
        <w:t xml:space="preserve"> </w:t>
      </w:r>
      <w:r w:rsidR="000F5747" w:rsidRPr="000F5747">
        <w:rPr>
          <w:sz w:val="24"/>
          <w:szCs w:val="24"/>
        </w:rPr>
        <w:t>2025b, p. 3</w:t>
      </w:r>
      <w:r w:rsidR="00D06C60">
        <w:rPr>
          <w:sz w:val="24"/>
          <w:szCs w:val="24"/>
        </w:rPr>
        <w:t>2</w:t>
      </w:r>
      <w:r w:rsidR="000F5747" w:rsidRPr="000F5747">
        <w:rPr>
          <w:sz w:val="24"/>
          <w:szCs w:val="24"/>
        </w:rPr>
        <w:t>)</w:t>
      </w:r>
      <w:r>
        <w:rPr>
          <w:sz w:val="24"/>
          <w:szCs w:val="24"/>
        </w:rPr>
        <w:t>.</w:t>
      </w:r>
      <w:r w:rsidR="00717D65">
        <w:rPr>
          <w:sz w:val="24"/>
          <w:szCs w:val="24"/>
        </w:rPr>
        <w:t xml:space="preserve"> A insuficiência institucional e a recusa em converter dados alarmantes em políticas públicas de resgate e permanência podem ser lidas sob a ótica da necropolítica (</w:t>
      </w:r>
      <w:proofErr w:type="spellStart"/>
      <w:r w:rsidR="00717D65">
        <w:rPr>
          <w:sz w:val="24"/>
          <w:szCs w:val="24"/>
        </w:rPr>
        <w:t>Mbembe</w:t>
      </w:r>
      <w:proofErr w:type="spellEnd"/>
      <w:r w:rsidR="00717D65">
        <w:rPr>
          <w:sz w:val="24"/>
          <w:szCs w:val="24"/>
        </w:rPr>
        <w:t>, 2016), na qual o Estado dita quais corpos importam para o sistema regular de ensino e quais podem ser sumariamente descartados.</w:t>
      </w:r>
    </w:p>
    <w:p w14:paraId="10B6B0E3" w14:textId="72BF1877" w:rsidR="006249C4" w:rsidRDefault="00E95E5B" w:rsidP="00E520F1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Resumidamente, os resultados confirmam que a retenção e o abandono escolar não consistem em </w:t>
      </w:r>
      <w:r w:rsidR="00105287">
        <w:rPr>
          <w:sz w:val="24"/>
          <w:szCs w:val="24"/>
        </w:rPr>
        <w:t>deficiências individuais de aprendizagem, mas são manifestações de um racismo institucional latente que atua como mecanismo seletivo excludente</w:t>
      </w:r>
      <w:r>
        <w:rPr>
          <w:sz w:val="24"/>
          <w:szCs w:val="24"/>
        </w:rPr>
        <w:t xml:space="preserve">. Conclui-se </w:t>
      </w:r>
      <w:r w:rsidR="00105287">
        <w:rPr>
          <w:sz w:val="24"/>
          <w:szCs w:val="24"/>
        </w:rPr>
        <w:t xml:space="preserve">que a “armadilha da média” promove o </w:t>
      </w:r>
      <w:r w:rsidR="00365E94">
        <w:rPr>
          <w:sz w:val="24"/>
          <w:szCs w:val="24"/>
        </w:rPr>
        <w:t>apagamento</w:t>
      </w:r>
      <w:r w:rsidR="00105287">
        <w:rPr>
          <w:sz w:val="24"/>
          <w:szCs w:val="24"/>
        </w:rPr>
        <w:t xml:space="preserve"> das populações não-brancas, dificultando as lutas por justiça racial. Para romper com a colonialidade do saber, </w:t>
      </w:r>
      <w:r w:rsidR="00963383">
        <w:rPr>
          <w:sz w:val="24"/>
          <w:szCs w:val="24"/>
        </w:rPr>
        <w:t>é urgente que o Estado amplie a transparência na disseminação pública de painéis censitários, cruzando compulsoriamente os indicadores de evasão e fluxo escolar com marcadores de cor/raça e localização diferenciada. Essa transparência é essencial para instrumentalizar o controle social, por meio de órgãos fiscalizadores como o Conselho de Acompanhamento e Controle Social do Fundeb (CACS/Fundeb)</w:t>
      </w:r>
      <w:r w:rsidR="00C216EC" w:rsidRPr="00C216EC">
        <w:rPr>
          <w:sz w:val="24"/>
          <w:szCs w:val="24"/>
        </w:rPr>
        <w:t xml:space="preserve"> garantindo a fiscalização correta de recursos (como as cotas do PDDE) e fomentando a construção de currículos interculturais territorializados capazes de reverter as trajetórias de exclusão</w:t>
      </w:r>
      <w:r w:rsidR="00365E94">
        <w:rPr>
          <w:sz w:val="24"/>
          <w:szCs w:val="24"/>
        </w:rPr>
        <w:t>.</w:t>
      </w:r>
    </w:p>
    <w:p w14:paraId="48187EAA" w14:textId="77777777" w:rsidR="00C216EC" w:rsidRDefault="00C216EC" w:rsidP="00E520F1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4BAC9BF4" w14:textId="267A97A6" w:rsidR="006249C4" w:rsidRDefault="00000000" w:rsidP="00E520F1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7A20744D" w14:textId="3CDF54CF" w:rsidR="00E95E5B" w:rsidRPr="00E95E5B" w:rsidRDefault="00E95E5B" w:rsidP="00E520F1">
      <w:pPr>
        <w:keepLines/>
        <w:widowControl w:val="0"/>
        <w:spacing w:line="360" w:lineRule="auto"/>
        <w:jc w:val="both"/>
      </w:pPr>
      <w:r w:rsidRPr="00E95E5B">
        <w:t>Censo Escolar; Abandono Escolar; Distorção Idade-Série; Armadilha da Média; Políticas Públicas.</w:t>
      </w:r>
    </w:p>
    <w:p w14:paraId="4E2E2797" w14:textId="77777777" w:rsidR="006249C4" w:rsidRDefault="006249C4">
      <w:pPr>
        <w:keepLines/>
        <w:widowControl w:val="0"/>
        <w:spacing w:line="240" w:lineRule="auto"/>
        <w:rPr>
          <w:sz w:val="24"/>
          <w:szCs w:val="24"/>
        </w:rPr>
      </w:pPr>
    </w:p>
    <w:p w14:paraId="3A3B082B" w14:textId="77777777" w:rsidR="00F12424" w:rsidRDefault="00F12424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9F4C66A" w14:textId="24C52577" w:rsidR="006249C4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39CC498F" w14:textId="77777777" w:rsidR="00545291" w:rsidRDefault="00545291" w:rsidP="00917A4A">
      <w:pPr>
        <w:spacing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</w:rPr>
      </w:pPr>
    </w:p>
    <w:p w14:paraId="69F1101B" w14:textId="771D4AD2" w:rsidR="00917A4A" w:rsidRPr="00F12424" w:rsidRDefault="00917A4A" w:rsidP="00917A4A">
      <w:pPr>
        <w:spacing w:line="240" w:lineRule="auto"/>
        <w:rPr>
          <w:rFonts w:eastAsia="Times New Roman"/>
          <w:sz w:val="24"/>
          <w:szCs w:val="24"/>
        </w:rPr>
      </w:pPr>
      <w:r w:rsidRPr="00F12424">
        <w:rPr>
          <w:rFonts w:eastAsia="Times New Roman"/>
          <w:sz w:val="24"/>
          <w:szCs w:val="24"/>
        </w:rPr>
        <w:t xml:space="preserve">APPLE, M. W. Políticas de direita e branquidade: a presença ausente da raça nas reformas educacionais. </w:t>
      </w:r>
      <w:r w:rsidRPr="00F12424">
        <w:rPr>
          <w:rFonts w:eastAsia="Times New Roman"/>
          <w:b/>
          <w:bCs/>
          <w:sz w:val="24"/>
          <w:szCs w:val="24"/>
        </w:rPr>
        <w:t>Revista Brasileira de Educação</w:t>
      </w:r>
      <w:r w:rsidRPr="00F12424">
        <w:rPr>
          <w:rFonts w:eastAsia="Times New Roman"/>
          <w:sz w:val="24"/>
          <w:szCs w:val="24"/>
        </w:rPr>
        <w:t>, Rio de Janeiro, n.16, p. 61-67, 2001.</w:t>
      </w:r>
    </w:p>
    <w:p w14:paraId="6003CC93" w14:textId="77777777" w:rsidR="00917A4A" w:rsidRPr="00F12424" w:rsidRDefault="00917A4A" w:rsidP="00917A4A">
      <w:pPr>
        <w:spacing w:line="240" w:lineRule="auto"/>
        <w:rPr>
          <w:rFonts w:eastAsia="Times New Roman"/>
          <w:sz w:val="24"/>
          <w:szCs w:val="24"/>
        </w:rPr>
      </w:pPr>
    </w:p>
    <w:p w14:paraId="60F00A4A" w14:textId="77777777" w:rsidR="00F12424" w:rsidRPr="00F12424" w:rsidRDefault="00F12424" w:rsidP="00F12424">
      <w:pPr>
        <w:spacing w:line="240" w:lineRule="auto"/>
        <w:rPr>
          <w:rFonts w:eastAsia="Times New Roman"/>
          <w:sz w:val="24"/>
          <w:szCs w:val="24"/>
        </w:rPr>
      </w:pPr>
      <w:r w:rsidRPr="00F12424">
        <w:rPr>
          <w:rFonts w:eastAsia="Times New Roman"/>
          <w:sz w:val="24"/>
          <w:szCs w:val="24"/>
        </w:rPr>
        <w:t xml:space="preserve">BRASIL. Ministério da Educação. Fundo Nacional de Desenvolvimento da Educação (FNDE). Conselho Deliberativo. </w:t>
      </w:r>
      <w:r w:rsidRPr="00F12424">
        <w:rPr>
          <w:rFonts w:eastAsia="Times New Roman"/>
          <w:b/>
          <w:bCs/>
          <w:sz w:val="24"/>
          <w:szCs w:val="24"/>
        </w:rPr>
        <w:t>Resolução nº 15, de 16 de setembro de 2021</w:t>
      </w:r>
      <w:r w:rsidRPr="00F12424">
        <w:rPr>
          <w:rFonts w:eastAsia="Times New Roman"/>
          <w:sz w:val="24"/>
          <w:szCs w:val="24"/>
        </w:rPr>
        <w:t>. Dispõe sobre as orientações para o apoio técnico e financeiro, fiscalização e monitoramento na execução do Programa Dinheiro Direto na Escola – PDDE, em cumprimento ao disposto na Lei nº 11.947, de 16 de junho de 2009. Diário Oficial da União: seção 1, Brasília, DF, p. 62-68, 17 set. 2021. Disponível em: https://www.gov.br/fnde/pt-br/acesso-a-</w:t>
      </w:r>
      <w:r w:rsidRPr="00F12424">
        <w:rPr>
          <w:rFonts w:eastAsia="Times New Roman"/>
          <w:sz w:val="24"/>
          <w:szCs w:val="24"/>
        </w:rPr>
        <w:lastRenderedPageBreak/>
        <w:t>informacao/legislacao/resolucoes/2021/resolucao-no-15-de-16-de-setembro-de-2021, Acesso em: 22 de nov. 2025</w:t>
      </w:r>
    </w:p>
    <w:p w14:paraId="0ADE4CC2" w14:textId="77777777" w:rsidR="00917A4A" w:rsidRPr="00F12424" w:rsidRDefault="00917A4A" w:rsidP="00917A4A">
      <w:pPr>
        <w:spacing w:line="240" w:lineRule="auto"/>
        <w:rPr>
          <w:rFonts w:eastAsia="Times New Roman"/>
          <w:sz w:val="24"/>
          <w:szCs w:val="24"/>
        </w:rPr>
      </w:pPr>
    </w:p>
    <w:p w14:paraId="36E8CAC8" w14:textId="77777777" w:rsidR="00D06C60" w:rsidRPr="00F12424" w:rsidRDefault="00D06C60" w:rsidP="00D06C60">
      <w:pPr>
        <w:spacing w:line="240" w:lineRule="auto"/>
        <w:rPr>
          <w:rFonts w:eastAsia="Calibri"/>
          <w:sz w:val="24"/>
          <w:szCs w:val="24"/>
          <w:lang w:eastAsia="en-US"/>
        </w:rPr>
      </w:pPr>
      <w:r w:rsidRPr="00F12424">
        <w:rPr>
          <w:rFonts w:eastAsia="Calibri"/>
          <w:sz w:val="24"/>
          <w:szCs w:val="24"/>
          <w:lang w:eastAsia="en-US"/>
        </w:rPr>
        <w:t xml:space="preserve">BRASIL. Instituto Nacional de Estudos e Pesquisas Educacionais Anísio Teixeira. </w:t>
      </w:r>
      <w:r w:rsidRPr="00F12424">
        <w:rPr>
          <w:rFonts w:eastAsia="Calibri"/>
          <w:b/>
          <w:bCs/>
          <w:sz w:val="24"/>
          <w:szCs w:val="24"/>
          <w:lang w:eastAsia="en-US"/>
        </w:rPr>
        <w:t>Censo Escolar da Educação Básica 2022</w:t>
      </w:r>
      <w:r w:rsidRPr="00F12424">
        <w:rPr>
          <w:rFonts w:eastAsia="Calibri"/>
          <w:sz w:val="24"/>
          <w:szCs w:val="24"/>
          <w:lang w:eastAsia="en-US"/>
        </w:rPr>
        <w:t>: divulgação dos resultados. Brasília, DF: Inep, 2023a. Disponível em: https://download.inep.gov.br/censo_escolar/resultados/2022/apresentacao_coletiva.pdf Acesso em: 20 jul. 2026.</w:t>
      </w:r>
    </w:p>
    <w:p w14:paraId="1BB82450" w14:textId="77777777" w:rsidR="00D06C60" w:rsidRPr="00F12424" w:rsidRDefault="00D06C60" w:rsidP="00D06C60">
      <w:pPr>
        <w:spacing w:line="240" w:lineRule="auto"/>
        <w:rPr>
          <w:rFonts w:eastAsia="Calibri"/>
          <w:b/>
          <w:bCs/>
          <w:sz w:val="24"/>
          <w:szCs w:val="24"/>
          <w:lang w:eastAsia="en-US"/>
        </w:rPr>
      </w:pPr>
    </w:p>
    <w:p w14:paraId="0255D9BF" w14:textId="77777777" w:rsidR="00D06C60" w:rsidRPr="00F12424" w:rsidRDefault="00D06C60" w:rsidP="00D06C60">
      <w:pPr>
        <w:spacing w:line="240" w:lineRule="auto"/>
        <w:rPr>
          <w:rFonts w:eastAsia="Calibri"/>
          <w:sz w:val="24"/>
          <w:szCs w:val="24"/>
          <w:lang w:eastAsia="en-US"/>
        </w:rPr>
      </w:pPr>
      <w:r w:rsidRPr="00F12424">
        <w:rPr>
          <w:rFonts w:eastAsia="Calibri"/>
          <w:sz w:val="24"/>
          <w:szCs w:val="24"/>
          <w:lang w:eastAsia="en-US"/>
        </w:rPr>
        <w:t xml:space="preserve">BRASIL. Instituto Nacional de Estudos e Pesquisas Educacionais Anísio Teixeira. </w:t>
      </w:r>
      <w:r w:rsidRPr="00F12424">
        <w:rPr>
          <w:rFonts w:eastAsia="Calibri"/>
          <w:b/>
          <w:bCs/>
          <w:sz w:val="24"/>
          <w:szCs w:val="24"/>
          <w:lang w:eastAsia="en-US"/>
        </w:rPr>
        <w:t>Censo Escolar da Educação Básica 2023</w:t>
      </w:r>
      <w:r w:rsidRPr="00F12424">
        <w:rPr>
          <w:rFonts w:eastAsia="Calibri"/>
          <w:sz w:val="24"/>
          <w:szCs w:val="24"/>
          <w:lang w:eastAsia="en-US"/>
        </w:rPr>
        <w:t>: divulgação dos resultados. Brasília, DF: Inep, 2023b. Disponível em: https://download.inep.gov.br/censo_escolar/resultados/2023/apresentacao_coletiva.pdf. Acesso em: 22 nov. 2025.</w:t>
      </w:r>
    </w:p>
    <w:p w14:paraId="5B9DE360" w14:textId="77777777" w:rsidR="000F5747" w:rsidRPr="00F12424" w:rsidRDefault="000F5747" w:rsidP="000F5747">
      <w:pPr>
        <w:spacing w:line="240" w:lineRule="auto"/>
        <w:rPr>
          <w:rFonts w:eastAsia="Times New Roman"/>
          <w:sz w:val="24"/>
          <w:szCs w:val="24"/>
        </w:rPr>
      </w:pPr>
    </w:p>
    <w:p w14:paraId="662E7CA4" w14:textId="2EB4729E" w:rsidR="000F5747" w:rsidRPr="00F12424" w:rsidRDefault="000F5747" w:rsidP="000F5747">
      <w:pPr>
        <w:spacing w:line="240" w:lineRule="auto"/>
        <w:rPr>
          <w:rFonts w:eastAsia="Times New Roman"/>
          <w:sz w:val="24"/>
          <w:szCs w:val="24"/>
        </w:rPr>
      </w:pPr>
      <w:r w:rsidRPr="00F12424">
        <w:rPr>
          <w:rFonts w:eastAsia="Times New Roman"/>
          <w:sz w:val="24"/>
          <w:szCs w:val="24"/>
        </w:rPr>
        <w:t xml:space="preserve">BRASIL. Instituto Nacional de Estudos e Pesquisas Educacionais Anísio Teixeira. </w:t>
      </w:r>
      <w:r w:rsidRPr="00F12424">
        <w:rPr>
          <w:rFonts w:eastAsia="Times New Roman"/>
          <w:b/>
          <w:bCs/>
          <w:sz w:val="24"/>
          <w:szCs w:val="24"/>
        </w:rPr>
        <w:t>Censo Escolar da Educação Básica 2024</w:t>
      </w:r>
      <w:r w:rsidRPr="00F12424">
        <w:rPr>
          <w:rFonts w:eastAsia="Times New Roman"/>
          <w:sz w:val="24"/>
          <w:szCs w:val="24"/>
        </w:rPr>
        <w:t>: divulgação dos resultados. Brasília, DF: Inep, 2025a. Disponível em: https://download.inep.gov.br/censo_escolar/resultados/2024/apresentacao_coletiva.pdf. Acesso em: 22 nov. 2025.</w:t>
      </w:r>
    </w:p>
    <w:p w14:paraId="59BC7A80" w14:textId="77777777" w:rsidR="000F5747" w:rsidRPr="00F12424" w:rsidRDefault="000F5747" w:rsidP="000F5747">
      <w:pPr>
        <w:spacing w:line="240" w:lineRule="auto"/>
        <w:rPr>
          <w:rFonts w:eastAsia="Times New Roman"/>
          <w:sz w:val="24"/>
          <w:szCs w:val="24"/>
        </w:rPr>
      </w:pPr>
    </w:p>
    <w:p w14:paraId="2141010F" w14:textId="72163A03" w:rsidR="00917A4A" w:rsidRPr="00F12424" w:rsidRDefault="000F5747" w:rsidP="000F5747">
      <w:pPr>
        <w:spacing w:line="240" w:lineRule="auto"/>
        <w:rPr>
          <w:sz w:val="24"/>
          <w:szCs w:val="24"/>
        </w:rPr>
      </w:pPr>
      <w:r w:rsidRPr="00F12424">
        <w:rPr>
          <w:rFonts w:eastAsia="Times New Roman"/>
          <w:sz w:val="24"/>
          <w:szCs w:val="24"/>
        </w:rPr>
        <w:t xml:space="preserve">BRASIL. Instituto Nacional de Estudos e Pesquisa Educacional Anísio Teixeira (Inep). </w:t>
      </w:r>
      <w:r w:rsidRPr="00F12424">
        <w:rPr>
          <w:rFonts w:eastAsia="Times New Roman"/>
          <w:b/>
          <w:bCs/>
          <w:sz w:val="24"/>
          <w:szCs w:val="24"/>
        </w:rPr>
        <w:t>Censo Escolar da Educação Básica 2024</w:t>
      </w:r>
      <w:r w:rsidRPr="00F12424">
        <w:rPr>
          <w:rFonts w:eastAsia="Times New Roman"/>
          <w:sz w:val="24"/>
          <w:szCs w:val="24"/>
        </w:rPr>
        <w:t>. Resumo Técnico. Brasília: Inep, 2025b. Disponível em: https://download.inep.gov.br/publicacoes/institucionais/estatisticas_e_indicadores/resu mo_tecnico_censo_escolar_2024.pdf. Acesso em: 22 nov. 2025</w:t>
      </w:r>
    </w:p>
    <w:p w14:paraId="6D7D1186" w14:textId="77777777" w:rsidR="000F5747" w:rsidRPr="00F12424" w:rsidRDefault="000F5747" w:rsidP="00917A4A">
      <w:pPr>
        <w:spacing w:line="240" w:lineRule="auto"/>
        <w:rPr>
          <w:sz w:val="24"/>
          <w:szCs w:val="24"/>
        </w:rPr>
      </w:pPr>
    </w:p>
    <w:p w14:paraId="55D254B8" w14:textId="53CFFF2C" w:rsidR="00917A4A" w:rsidRPr="00F12424" w:rsidRDefault="00917A4A" w:rsidP="00917A4A">
      <w:pPr>
        <w:spacing w:line="240" w:lineRule="auto"/>
        <w:rPr>
          <w:sz w:val="24"/>
          <w:szCs w:val="24"/>
        </w:rPr>
      </w:pPr>
      <w:r w:rsidRPr="00F12424">
        <w:rPr>
          <w:sz w:val="24"/>
          <w:szCs w:val="24"/>
        </w:rPr>
        <w:t xml:space="preserve">FIGUEIREDO, </w:t>
      </w:r>
      <w:r w:rsidR="00E520F1" w:rsidRPr="00F12424">
        <w:rPr>
          <w:sz w:val="24"/>
          <w:szCs w:val="24"/>
        </w:rPr>
        <w:t>Â.; GROSFOGUEL, R.</w:t>
      </w:r>
      <w:r w:rsidRPr="00F12424">
        <w:rPr>
          <w:sz w:val="24"/>
          <w:szCs w:val="24"/>
        </w:rPr>
        <w:t xml:space="preserve"> </w:t>
      </w:r>
      <w:r w:rsidR="00E520F1" w:rsidRPr="00F12424">
        <w:rPr>
          <w:sz w:val="24"/>
          <w:szCs w:val="24"/>
        </w:rPr>
        <w:t>Por que não Guerreiro Ramos</w:t>
      </w:r>
      <w:r w:rsidRPr="00F12424">
        <w:rPr>
          <w:sz w:val="24"/>
          <w:szCs w:val="24"/>
        </w:rPr>
        <w:t xml:space="preserve">?  Novos </w:t>
      </w:r>
      <w:r w:rsidR="00E520F1" w:rsidRPr="00F12424">
        <w:rPr>
          <w:sz w:val="24"/>
          <w:szCs w:val="24"/>
        </w:rPr>
        <w:t>desafios a serem enfrentados pelas universidades públicas brasileiras</w:t>
      </w:r>
      <w:r w:rsidRPr="00F12424">
        <w:rPr>
          <w:sz w:val="24"/>
          <w:szCs w:val="24"/>
        </w:rPr>
        <w:t xml:space="preserve">. </w:t>
      </w:r>
      <w:r w:rsidR="00E520F1" w:rsidRPr="00F12424">
        <w:rPr>
          <w:b/>
          <w:bCs/>
          <w:sz w:val="24"/>
          <w:szCs w:val="24"/>
        </w:rPr>
        <w:t>Ciência e Cultura</w:t>
      </w:r>
      <w:r w:rsidR="00E520F1" w:rsidRPr="00F12424">
        <w:rPr>
          <w:sz w:val="24"/>
          <w:szCs w:val="24"/>
        </w:rPr>
        <w:t>, v.</w:t>
      </w:r>
      <w:r w:rsidRPr="00F12424">
        <w:rPr>
          <w:sz w:val="24"/>
          <w:szCs w:val="24"/>
        </w:rPr>
        <w:t xml:space="preserve"> 59, n. 2, p. 36-41, 2007.</w:t>
      </w:r>
    </w:p>
    <w:p w14:paraId="0109007F" w14:textId="77777777" w:rsidR="00917A4A" w:rsidRPr="00F12424" w:rsidRDefault="00917A4A" w:rsidP="00917A4A">
      <w:pPr>
        <w:spacing w:line="240" w:lineRule="auto"/>
        <w:rPr>
          <w:sz w:val="24"/>
          <w:szCs w:val="24"/>
        </w:rPr>
      </w:pPr>
    </w:p>
    <w:p w14:paraId="5164BFF5" w14:textId="77777777" w:rsidR="00917A4A" w:rsidRPr="00F12424" w:rsidRDefault="00917A4A" w:rsidP="00917A4A">
      <w:pPr>
        <w:spacing w:line="240" w:lineRule="auto"/>
        <w:rPr>
          <w:rFonts w:eastAsia="Times New Roman"/>
          <w:sz w:val="24"/>
          <w:szCs w:val="24"/>
        </w:rPr>
      </w:pPr>
      <w:r w:rsidRPr="00F12424">
        <w:rPr>
          <w:rFonts w:eastAsia="Times New Roman"/>
          <w:sz w:val="24"/>
          <w:szCs w:val="24"/>
        </w:rPr>
        <w:t xml:space="preserve">MBEMBE, A. Necropolítica: Biopoder, soberania, estado de exceção, política da morte. </w:t>
      </w:r>
      <w:r w:rsidRPr="00F12424">
        <w:rPr>
          <w:rFonts w:eastAsia="Times New Roman"/>
          <w:b/>
          <w:bCs/>
          <w:sz w:val="24"/>
          <w:szCs w:val="24"/>
        </w:rPr>
        <w:t>Arte &amp; Ensaio</w:t>
      </w:r>
      <w:r w:rsidRPr="00F12424">
        <w:rPr>
          <w:rFonts w:eastAsia="Times New Roman"/>
          <w:sz w:val="24"/>
          <w:szCs w:val="24"/>
        </w:rPr>
        <w:t>, Rio de Janeiro, v. 32, p. 123-151, 2016.</w:t>
      </w:r>
    </w:p>
    <w:p w14:paraId="21250036" w14:textId="77777777" w:rsidR="00917A4A" w:rsidRPr="00F12424" w:rsidRDefault="00917A4A" w:rsidP="00917A4A">
      <w:pPr>
        <w:spacing w:line="240" w:lineRule="auto"/>
        <w:rPr>
          <w:rFonts w:eastAsia="Times New Roman"/>
          <w:sz w:val="24"/>
          <w:szCs w:val="24"/>
        </w:rPr>
      </w:pPr>
    </w:p>
    <w:p w14:paraId="2385CD45" w14:textId="77777777" w:rsidR="00917A4A" w:rsidRPr="00F12424" w:rsidRDefault="00917A4A" w:rsidP="00917A4A">
      <w:pPr>
        <w:spacing w:line="240" w:lineRule="auto"/>
        <w:rPr>
          <w:rFonts w:eastAsia="Times New Roman"/>
          <w:sz w:val="24"/>
          <w:szCs w:val="24"/>
        </w:rPr>
      </w:pPr>
      <w:r w:rsidRPr="00F12424">
        <w:rPr>
          <w:rFonts w:eastAsia="Times New Roman"/>
          <w:sz w:val="24"/>
          <w:szCs w:val="24"/>
        </w:rPr>
        <w:t xml:space="preserve">MUNANGA, K. </w:t>
      </w:r>
      <w:r w:rsidRPr="00F12424">
        <w:rPr>
          <w:rFonts w:eastAsia="Times New Roman"/>
          <w:b/>
          <w:bCs/>
          <w:sz w:val="24"/>
          <w:szCs w:val="24"/>
        </w:rPr>
        <w:t>Rediscutindo a mestiçagem no Brasil: Identidade nacional versus identidade negra</w:t>
      </w:r>
      <w:r w:rsidRPr="00F12424">
        <w:rPr>
          <w:rFonts w:eastAsia="Times New Roman"/>
          <w:sz w:val="24"/>
          <w:szCs w:val="24"/>
        </w:rPr>
        <w:t>. Petrópolis: Vozes, 1999.</w:t>
      </w:r>
    </w:p>
    <w:p w14:paraId="5F2085A3" w14:textId="77777777" w:rsidR="00917A4A" w:rsidRPr="00F12424" w:rsidRDefault="00917A4A" w:rsidP="00917A4A">
      <w:pPr>
        <w:spacing w:line="240" w:lineRule="auto"/>
        <w:rPr>
          <w:rFonts w:eastAsia="Times New Roman"/>
          <w:sz w:val="24"/>
          <w:szCs w:val="24"/>
        </w:rPr>
      </w:pPr>
    </w:p>
    <w:p w14:paraId="7DB3B98B" w14:textId="7080362D" w:rsidR="00917A4A" w:rsidRPr="00F12424" w:rsidRDefault="00917A4A" w:rsidP="00917A4A">
      <w:pPr>
        <w:rPr>
          <w:sz w:val="24"/>
          <w:szCs w:val="24"/>
        </w:rPr>
      </w:pPr>
      <w:r w:rsidRPr="00F12424">
        <w:rPr>
          <w:sz w:val="24"/>
          <w:szCs w:val="24"/>
        </w:rPr>
        <w:t xml:space="preserve">QUIJANO, A. Colonialidade do poder, eurocentrismo e América Latina. In: LANDER, E. (Ed). </w:t>
      </w:r>
      <w:r w:rsidRPr="00F12424">
        <w:rPr>
          <w:b/>
          <w:bCs/>
          <w:sz w:val="24"/>
          <w:szCs w:val="24"/>
        </w:rPr>
        <w:t>A colonialidade do saber</w:t>
      </w:r>
      <w:r w:rsidRPr="00F12424">
        <w:rPr>
          <w:sz w:val="24"/>
          <w:szCs w:val="24"/>
        </w:rPr>
        <w:t>: eurocentrismo e ciência</w:t>
      </w:r>
      <w:r w:rsidR="00E520F1" w:rsidRPr="00F12424">
        <w:rPr>
          <w:sz w:val="24"/>
          <w:szCs w:val="24"/>
        </w:rPr>
        <w:t>s</w:t>
      </w:r>
      <w:r w:rsidRPr="00F12424">
        <w:rPr>
          <w:sz w:val="24"/>
          <w:szCs w:val="24"/>
        </w:rPr>
        <w:t xml:space="preserve"> sociais. Perspectiva latino-americanas. Buenos Aires: CLACSO, 2005. </w:t>
      </w:r>
      <w:r w:rsidR="00254A51" w:rsidRPr="00F12424">
        <w:rPr>
          <w:sz w:val="24"/>
          <w:szCs w:val="24"/>
        </w:rPr>
        <w:t>p</w:t>
      </w:r>
      <w:r w:rsidRPr="00F12424">
        <w:rPr>
          <w:sz w:val="24"/>
          <w:szCs w:val="24"/>
        </w:rPr>
        <w:t>. 107-130.</w:t>
      </w:r>
    </w:p>
    <w:p w14:paraId="70AB036B" w14:textId="77777777" w:rsidR="00B23797" w:rsidRPr="00F12424" w:rsidRDefault="00B23797" w:rsidP="00917A4A">
      <w:pPr>
        <w:rPr>
          <w:rFonts w:eastAsia="Times New Roman"/>
          <w:b/>
          <w:bCs/>
        </w:rPr>
      </w:pPr>
    </w:p>
    <w:p w14:paraId="37FB4FD3" w14:textId="3F32171C" w:rsidR="00B23797" w:rsidRPr="00B23797" w:rsidRDefault="00B23797" w:rsidP="00B23797">
      <w:pPr>
        <w:tabs>
          <w:tab w:val="left" w:pos="5099"/>
        </w:tabs>
      </w:pPr>
      <w:r>
        <w:tab/>
      </w:r>
    </w:p>
    <w:sectPr w:rsidR="00B23797" w:rsidRPr="00B23797" w:rsidSect="00F12424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1EB8A" w14:textId="77777777" w:rsidR="00FF398C" w:rsidRDefault="00FF398C">
      <w:pPr>
        <w:spacing w:line="240" w:lineRule="auto"/>
      </w:pPr>
      <w:r>
        <w:separator/>
      </w:r>
    </w:p>
  </w:endnote>
  <w:endnote w:type="continuationSeparator" w:id="0">
    <w:p w14:paraId="7E697863" w14:textId="77777777" w:rsidR="00FF398C" w:rsidRDefault="00FF39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2A5C83-BEEC-4B05-9AE4-87CF2670A9A9}"/>
    <w:embedBold r:id="rId2" w:fontKey="{0AF2B17C-403F-4C8E-9070-0183482F56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6FF6080-DE15-40F1-9BAC-0AC289399D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D6AEA" w14:textId="77777777" w:rsidR="006249C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41E32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CFCD8" w14:textId="77777777" w:rsidR="006249C4" w:rsidRDefault="006249C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62D61" w14:textId="77777777" w:rsidR="00FF398C" w:rsidRDefault="00FF398C">
      <w:pPr>
        <w:spacing w:line="240" w:lineRule="auto"/>
      </w:pPr>
      <w:r>
        <w:separator/>
      </w:r>
    </w:p>
  </w:footnote>
  <w:footnote w:type="continuationSeparator" w:id="0">
    <w:p w14:paraId="3063CF6B" w14:textId="77777777" w:rsidR="00FF398C" w:rsidRDefault="00FF398C">
      <w:pPr>
        <w:spacing w:line="240" w:lineRule="auto"/>
      </w:pPr>
      <w:r>
        <w:continuationSeparator/>
      </w:r>
    </w:p>
  </w:footnote>
  <w:footnote w:id="1">
    <w:p w14:paraId="048AA45D" w14:textId="22FCFA7E" w:rsidR="008D1A19" w:rsidRDefault="008D1A19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>
        <w:rPr>
          <w:sz w:val="24"/>
          <w:szCs w:val="24"/>
        </w:rPr>
        <w:t xml:space="preserve">Programa Dinheiro Direto na Escola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E8438" w14:textId="77777777" w:rsidR="006249C4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4D2F90FC" wp14:editId="34D9FC39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29ADE708" wp14:editId="0F84ECF5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77309F3" w14:textId="77777777" w:rsidR="006249C4" w:rsidRDefault="006249C4">
    <w:pPr>
      <w:jc w:val="right"/>
    </w:pPr>
  </w:p>
  <w:p w14:paraId="33516C32" w14:textId="77777777" w:rsidR="006249C4" w:rsidRDefault="006249C4">
    <w:pPr>
      <w:jc w:val="right"/>
    </w:pPr>
  </w:p>
  <w:p w14:paraId="55B0877D" w14:textId="77777777" w:rsidR="006249C4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9833EAE" wp14:editId="3B088495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2CBB5" w14:textId="77777777" w:rsidR="006249C4" w:rsidRDefault="006249C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449CE"/>
    <w:multiLevelType w:val="hybridMultilevel"/>
    <w:tmpl w:val="43B4C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263B3B"/>
    <w:multiLevelType w:val="hybridMultilevel"/>
    <w:tmpl w:val="2C96BC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653113">
    <w:abstractNumId w:val="1"/>
  </w:num>
  <w:num w:numId="2" w16cid:durableId="29984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9C4"/>
    <w:rsid w:val="00033D8A"/>
    <w:rsid w:val="000662C3"/>
    <w:rsid w:val="000F5747"/>
    <w:rsid w:val="00105287"/>
    <w:rsid w:val="0011126D"/>
    <w:rsid w:val="00141E32"/>
    <w:rsid w:val="00254A51"/>
    <w:rsid w:val="0026329E"/>
    <w:rsid w:val="002A07E1"/>
    <w:rsid w:val="002C11EF"/>
    <w:rsid w:val="00300009"/>
    <w:rsid w:val="00365E94"/>
    <w:rsid w:val="00394A79"/>
    <w:rsid w:val="00396FE3"/>
    <w:rsid w:val="003E04D2"/>
    <w:rsid w:val="00402AB6"/>
    <w:rsid w:val="00456938"/>
    <w:rsid w:val="005259EA"/>
    <w:rsid w:val="00545291"/>
    <w:rsid w:val="006249C4"/>
    <w:rsid w:val="006970B0"/>
    <w:rsid w:val="0070558E"/>
    <w:rsid w:val="00717D65"/>
    <w:rsid w:val="00720F7B"/>
    <w:rsid w:val="007D4D9A"/>
    <w:rsid w:val="008D1A19"/>
    <w:rsid w:val="00917A4A"/>
    <w:rsid w:val="00963383"/>
    <w:rsid w:val="00A84E5B"/>
    <w:rsid w:val="00B23797"/>
    <w:rsid w:val="00C216EC"/>
    <w:rsid w:val="00D06C60"/>
    <w:rsid w:val="00D436C5"/>
    <w:rsid w:val="00E520F1"/>
    <w:rsid w:val="00E95E5B"/>
    <w:rsid w:val="00EA0B66"/>
    <w:rsid w:val="00EA6CD1"/>
    <w:rsid w:val="00EE2684"/>
    <w:rsid w:val="00EF2FA3"/>
    <w:rsid w:val="00F12424"/>
    <w:rsid w:val="00FF1A35"/>
    <w:rsid w:val="00FF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A255E"/>
  <w15:docId w15:val="{C927AE35-EEF3-4A94-9620-6BE572850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E95E5B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D1A19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D1A19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D1A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DC1E8-BEC0-49B9-B18B-A966A321C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1309</Words>
  <Characters>7072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Joelson dos Santos Silva</dc:creator>
  <cp:lastModifiedBy>Joelson dos Santos Silva</cp:lastModifiedBy>
  <cp:revision>2</cp:revision>
  <dcterms:created xsi:type="dcterms:W3CDTF">2026-07-28T21:46:00Z</dcterms:created>
  <dcterms:modified xsi:type="dcterms:W3CDTF">2026-07-28T21:46:00Z</dcterms:modified>
</cp:coreProperties>
</file>