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9A360" w14:textId="77777777" w:rsidR="007D08F8" w:rsidRPr="00C32A59" w:rsidRDefault="00385490">
      <w:pPr>
        <w:spacing w:line="360" w:lineRule="auto"/>
        <w:jc w:val="center"/>
        <w:rPr>
          <w:sz w:val="24"/>
          <w:szCs w:val="24"/>
        </w:rPr>
      </w:pPr>
      <w:r w:rsidRPr="00C32A59">
        <w:rPr>
          <w:b/>
          <w:sz w:val="24"/>
          <w:szCs w:val="24"/>
        </w:rPr>
        <w:t>CONVERSATÓRIO 8 — NARRATIVAS AUTOBIOGRÁFICAS DE ESTUDANTES INDÍGENAS, QUILOMBOLAS E DE COMUNIDADES TRADICIONAIS</w:t>
      </w:r>
    </w:p>
    <w:p w14:paraId="3979A361" w14:textId="2904EFCE" w:rsidR="007D08F8" w:rsidRPr="00C32A59" w:rsidRDefault="00385490">
      <w:pPr>
        <w:spacing w:line="360" w:lineRule="auto"/>
        <w:jc w:val="center"/>
        <w:rPr>
          <w:sz w:val="24"/>
          <w:szCs w:val="24"/>
        </w:rPr>
      </w:pPr>
      <w:r w:rsidRPr="00C32A59">
        <w:rPr>
          <w:b/>
          <w:sz w:val="24"/>
          <w:szCs w:val="24"/>
        </w:rPr>
        <w:t>Encruzilhadas quilombolas: táticas de permanência e (</w:t>
      </w:r>
      <w:proofErr w:type="spellStart"/>
      <w:r w:rsidRPr="00C32A59">
        <w:rPr>
          <w:b/>
          <w:sz w:val="24"/>
          <w:szCs w:val="24"/>
        </w:rPr>
        <w:t>re</w:t>
      </w:r>
      <w:proofErr w:type="spellEnd"/>
      <w:r w:rsidRPr="00C32A59">
        <w:rPr>
          <w:b/>
          <w:sz w:val="24"/>
          <w:szCs w:val="24"/>
        </w:rPr>
        <w:t>)existência na universidade</w:t>
      </w:r>
    </w:p>
    <w:p w14:paraId="3979A362" w14:textId="729F55B8" w:rsidR="007D08F8" w:rsidRPr="00C32A59" w:rsidRDefault="00385490">
      <w:pPr>
        <w:spacing w:line="360" w:lineRule="auto"/>
        <w:jc w:val="right"/>
        <w:rPr>
          <w:sz w:val="24"/>
          <w:szCs w:val="24"/>
        </w:rPr>
      </w:pPr>
      <w:r w:rsidRPr="00C32A59">
        <w:rPr>
          <w:sz w:val="24"/>
          <w:szCs w:val="24"/>
        </w:rPr>
        <w:t xml:space="preserve">Lucas Alves Leite — Universidade do Estado da Bahia (UNEB) — </w:t>
      </w:r>
      <w:r w:rsidR="00602E9F" w:rsidRPr="00C32A59">
        <w:rPr>
          <w:sz w:val="24"/>
          <w:szCs w:val="24"/>
        </w:rPr>
        <w:t>lleitepsi@gmail.com</w:t>
      </w:r>
    </w:p>
    <w:p w14:paraId="3979A363" w14:textId="67BA98E9" w:rsidR="007D08F8" w:rsidRPr="00C32A59" w:rsidRDefault="00385490">
      <w:pPr>
        <w:spacing w:line="360" w:lineRule="auto"/>
        <w:jc w:val="right"/>
        <w:rPr>
          <w:sz w:val="24"/>
          <w:szCs w:val="24"/>
        </w:rPr>
      </w:pPr>
      <w:r w:rsidRPr="00C32A59">
        <w:rPr>
          <w:sz w:val="24"/>
          <w:szCs w:val="24"/>
        </w:rPr>
        <w:t xml:space="preserve">Renan Luiz </w:t>
      </w:r>
      <w:r w:rsidR="003A7B07" w:rsidRPr="00C32A59">
        <w:rPr>
          <w:sz w:val="24"/>
          <w:szCs w:val="24"/>
        </w:rPr>
        <w:t>de Oliveira Reis</w:t>
      </w:r>
      <w:r w:rsidRPr="00C32A59">
        <w:rPr>
          <w:sz w:val="24"/>
          <w:szCs w:val="24"/>
        </w:rPr>
        <w:t xml:space="preserve"> — UNEB — </w:t>
      </w:r>
      <w:r w:rsidR="00F05B08" w:rsidRPr="00C32A59">
        <w:rPr>
          <w:sz w:val="24"/>
          <w:szCs w:val="24"/>
        </w:rPr>
        <w:t>t</w:t>
      </w:r>
      <w:r w:rsidR="00602E9F" w:rsidRPr="00C32A59">
        <w:rPr>
          <w:sz w:val="24"/>
          <w:szCs w:val="24"/>
        </w:rPr>
        <w:t>ornarsemente@gmail.com</w:t>
      </w:r>
    </w:p>
    <w:p w14:paraId="3979A364" w14:textId="1CB83B2D" w:rsidR="007D08F8" w:rsidRPr="00C32A59" w:rsidRDefault="00790439" w:rsidP="00790439">
      <w:pPr>
        <w:spacing w:line="360" w:lineRule="auto"/>
        <w:jc w:val="right"/>
        <w:rPr>
          <w:sz w:val="24"/>
          <w:szCs w:val="24"/>
        </w:rPr>
      </w:pPr>
      <w:r w:rsidRPr="00C32A59">
        <w:rPr>
          <w:sz w:val="24"/>
          <w:szCs w:val="24"/>
        </w:rPr>
        <w:t xml:space="preserve">Joana Maria Leôncio Núñez (orientadora) — UNEB — </w:t>
      </w:r>
      <w:r w:rsidR="003C16A6" w:rsidRPr="00C32A59">
        <w:rPr>
          <w:sz w:val="24"/>
          <w:szCs w:val="24"/>
        </w:rPr>
        <w:t>j</w:t>
      </w:r>
      <w:r w:rsidR="00F05B08" w:rsidRPr="00C32A59">
        <w:rPr>
          <w:sz w:val="24"/>
          <w:szCs w:val="24"/>
        </w:rPr>
        <w:t>leoncio@uneb.br</w:t>
      </w:r>
    </w:p>
    <w:p w14:paraId="3979A365" w14:textId="77777777" w:rsidR="007D08F8" w:rsidRDefault="00385490">
      <w:pPr>
        <w:spacing w:line="360" w:lineRule="auto"/>
      </w:pPr>
      <w:r>
        <w:rPr>
          <w:b/>
          <w:sz w:val="24"/>
        </w:rPr>
        <w:t>RESUMO</w:t>
      </w:r>
    </w:p>
    <w:p w14:paraId="20823E69" w14:textId="77777777" w:rsidR="00A901A5" w:rsidRDefault="002F55EF" w:rsidP="002F55EF">
      <w:pPr>
        <w:spacing w:line="360" w:lineRule="auto"/>
        <w:ind w:firstLine="709"/>
        <w:jc w:val="both"/>
        <w:rPr>
          <w:sz w:val="24"/>
        </w:rPr>
      </w:pPr>
      <w:r w:rsidRPr="002F55EF">
        <w:rPr>
          <w:sz w:val="24"/>
        </w:rPr>
        <w:t>As políticas de ações afirmativas ampliaram o ingresso de estudantes negros e quilombolas nas universidades públicas brasileiras, mas o acesso não assegura, por si só, condições efetivas de permanência. Custos de moradia e deslocamento, fragilidade da assistência estudantil, racismo institucional e deslegitimação de saberes não eurocentrados atravessam a continuidade dos estudos. É nesse problema que se inscreve esta pesquisa em andamento, realizada no curso de Psicologia da Universidade do Estado da Bahia (UNEB). Parto de minha trajetória como homem negro, gay, pai, quilombola da zona rural do sertão baiano e primeiro integrante da família a ingressar no ensino superior. Entre o território de origem e Salvador, a sala de aula e os trabalhos que custearam cada semestre, pergunto: quais táticas de permanência são construídas por um estudante quilombola ao longo de sua trajetória universitária?</w:t>
      </w:r>
    </w:p>
    <w:p w14:paraId="1F238D9B" w14:textId="3730C7D7" w:rsidR="00A901A5" w:rsidRDefault="00A901A5" w:rsidP="009E2D50">
      <w:pPr>
        <w:spacing w:line="360" w:lineRule="auto"/>
        <w:ind w:firstLine="709"/>
        <w:jc w:val="both"/>
        <w:rPr>
          <w:sz w:val="24"/>
        </w:rPr>
      </w:pPr>
      <w:r w:rsidRPr="002F55EF">
        <w:rPr>
          <w:sz w:val="24"/>
        </w:rPr>
        <w:t>O objetivo é investigar essas táticas por meio de uma abordagem autobiográfica, descrevendo o percurso universitário do pesquisador em formação em Psicologia; identificando barreiras materiais, institucionais, raciais, territoriais e epistemológicas; e discutindo como as práticas mobilizadas participam da produção de pertencimento, autoria e formação. A permanência é compreendida como processo multidimensional: envolve condições de subsistência, vínculos, participação na vida acadêmica e possibilidade de produzir conhecimento sem romper com território, memória e relações comunitárias.</w:t>
      </w:r>
    </w:p>
    <w:p w14:paraId="1C11FEE4" w14:textId="0BFF1E47" w:rsidR="002F55EF" w:rsidRPr="002F55EF" w:rsidRDefault="002F55EF" w:rsidP="002F55EF">
      <w:pPr>
        <w:spacing w:line="360" w:lineRule="auto"/>
        <w:ind w:firstLine="709"/>
        <w:jc w:val="both"/>
        <w:rPr>
          <w:sz w:val="24"/>
        </w:rPr>
      </w:pPr>
      <w:r w:rsidRPr="002F55EF">
        <w:rPr>
          <w:sz w:val="24"/>
        </w:rPr>
        <w:t xml:space="preserve">Em </w:t>
      </w:r>
      <w:proofErr w:type="spellStart"/>
      <w:r w:rsidRPr="002F55EF">
        <w:rPr>
          <w:sz w:val="24"/>
        </w:rPr>
        <w:t>Certeau</w:t>
      </w:r>
      <w:proofErr w:type="spellEnd"/>
      <w:r w:rsidRPr="002F55EF">
        <w:rPr>
          <w:sz w:val="24"/>
        </w:rPr>
        <w:t xml:space="preserve"> (1998), as estratégias partem de sujeitos ou instituições que dispõem de um lugar próprio de poder e planejamento, enquanto as táticas são movimentos cotidianos elaborados por quem age no interior de estruturas organizadas por outros, aproveitando ocasiões, vínculos e brechas. Essa distinção permite situar políticas, normas e práticas universitárias no campo das estratégias institucionais e examinar negociações, redes de apoio, deslocamentos e invenções cotidianas do estudante como táticas de permanência. Elas não substituem a responsabilidade institucional, mas evidenciam modos de mobilizar recursos em relações assimétricas de poder. A encruzilhada, em Rufino </w:t>
      </w:r>
      <w:r w:rsidRPr="002F55EF">
        <w:rPr>
          <w:sz w:val="24"/>
        </w:rPr>
        <w:lastRenderedPageBreak/>
        <w:t xml:space="preserve">(2019), orienta a leitura dos </w:t>
      </w:r>
      <w:proofErr w:type="spellStart"/>
      <w:r w:rsidRPr="002F55EF">
        <w:rPr>
          <w:sz w:val="24"/>
        </w:rPr>
        <w:t>cruzos</w:t>
      </w:r>
      <w:proofErr w:type="spellEnd"/>
      <w:r w:rsidRPr="002F55EF">
        <w:rPr>
          <w:sz w:val="24"/>
        </w:rPr>
        <w:t xml:space="preserve"> entre quilombo e universidade, sertão e capital, memória e formação. O corpo-território que ingressa na universidade carrega aprendizagens produzidas com a terra, a família e os mais velhos, ao mesmo tempo que é atravessado pelas condições do espaço universitário. A (</w:t>
      </w:r>
      <w:proofErr w:type="spellStart"/>
      <w:r w:rsidRPr="002F55EF">
        <w:rPr>
          <w:sz w:val="24"/>
        </w:rPr>
        <w:t>re</w:t>
      </w:r>
      <w:proofErr w:type="spellEnd"/>
      <w:r w:rsidRPr="002F55EF">
        <w:rPr>
          <w:sz w:val="24"/>
        </w:rPr>
        <w:t>)existência não equivale automaticamente à permanência: esse sentido é atribuído às táticas que também produzem autoria, pertencimento, memória, coletividade e disputa dos modos de conhecer.</w:t>
      </w:r>
    </w:p>
    <w:p w14:paraId="796C22F4" w14:textId="77777777" w:rsidR="002F55EF" w:rsidRPr="002F55EF" w:rsidRDefault="002F55EF" w:rsidP="002F55EF">
      <w:pPr>
        <w:spacing w:line="360" w:lineRule="auto"/>
        <w:ind w:firstLine="709"/>
        <w:jc w:val="both"/>
        <w:rPr>
          <w:sz w:val="24"/>
        </w:rPr>
      </w:pPr>
      <w:r w:rsidRPr="00EF1F87">
        <w:rPr>
          <w:sz w:val="24"/>
        </w:rPr>
        <w:t>Trata-se de pesquisa qualitativa, de natureza (auto)biográfica, fundamentada na escrevivência como perspectiva epistemológica, política e metodológica. O corpus é um Memorial autobiográfico escrito em primeira pessoa, elaborado durante aproximadamente três meses em movimentos de rememoração, escrita e reescrita. Fotografias, cadernos, registros no celular, trabalhos acadêmicos e documentos institucionais atuaram como disparadores da memória, sem constituírem fontes documentais independentes. Um Diário de Reflexividade acompanhou a construção do Memorial e a análise, reunindo percepções, afetos, dúvidas e escolhas interpretativas. A escrevivência reconhece a experiência vivida como lugar de elaboração do conhecimento e permite relacionar uma trajetória singular a processos históricos compartilhados, sem tomá-la como representação da totalidade das experiências quilombolas (EVARISTO, 2020).</w:t>
      </w:r>
    </w:p>
    <w:p w14:paraId="4485D856" w14:textId="77777777" w:rsidR="002F55EF" w:rsidRPr="002F55EF" w:rsidRDefault="002F55EF" w:rsidP="002F55EF">
      <w:pPr>
        <w:spacing w:line="360" w:lineRule="auto"/>
        <w:ind w:firstLine="709"/>
        <w:jc w:val="both"/>
        <w:rPr>
          <w:sz w:val="24"/>
        </w:rPr>
      </w:pPr>
      <w:r w:rsidRPr="002F55EF">
        <w:rPr>
          <w:sz w:val="24"/>
        </w:rPr>
        <w:t xml:space="preserve">A interpretação segue a análise compreensivo-interpretativa de narrativas (auto)biográficas proposta por Souza (2014), em três movimentos articulados: leitura cruzada ou </w:t>
      </w:r>
      <w:proofErr w:type="spellStart"/>
      <w:r w:rsidRPr="002F55EF">
        <w:rPr>
          <w:sz w:val="24"/>
        </w:rPr>
        <w:t>pré-análise</w:t>
      </w:r>
      <w:proofErr w:type="spellEnd"/>
      <w:r w:rsidRPr="002F55EF">
        <w:rPr>
          <w:sz w:val="24"/>
        </w:rPr>
        <w:t>, leitura temática e leitura interpretativo-compreensiva. Temporalidade, interação e lugar orientam transversalmente esse percurso. Os fragmentos são selecionados quando evidenciam barreiras à permanência, recursos mobilizados, mudanças na compreensão de si e da universidade ou repercussões materiais, afetivas, políticas, territoriais e formativas. A condição simultânea de pesquisador e sujeito da experiência exige reflexividade crítica, explicitação das escolhas interpretativas e cuidado ético com terceiros mencionados.</w:t>
      </w:r>
    </w:p>
    <w:p w14:paraId="5DC93215" w14:textId="77777777" w:rsidR="002F55EF" w:rsidRPr="002F55EF" w:rsidRDefault="002F55EF" w:rsidP="002F55EF">
      <w:pPr>
        <w:spacing w:line="360" w:lineRule="auto"/>
        <w:ind w:firstLine="709"/>
        <w:jc w:val="both"/>
        <w:rPr>
          <w:sz w:val="24"/>
        </w:rPr>
      </w:pPr>
      <w:r w:rsidRPr="002F55EF">
        <w:rPr>
          <w:sz w:val="24"/>
        </w:rPr>
        <w:t xml:space="preserve">Os resultados preliminares foram condensados em dois movimentos analíticos interligados. O primeiro, sustentar a travessia, reúne a permanência material, a circulação territorial e as redes de aquilombamento. O trabalho realizado nos fins de semana e nas férias para custear os semestres e os deslocamentos entre Salvador e o território quilombola aparece como tática construída diante de condições desiguais, e não como prova individual de mérito. Amizades, participação no Centro Acadêmico e na Liga Acadêmica de Relações Raciais, Psicologia e Sociedade, além da criação do Núcleo de </w:t>
      </w:r>
      <w:r w:rsidRPr="002F55EF">
        <w:rPr>
          <w:sz w:val="24"/>
        </w:rPr>
        <w:lastRenderedPageBreak/>
        <w:t>Estudantes Quilombolas da UNEB, transformam isolamento em partilha, elaboração política e afirmação coletiva da presença quilombola.</w:t>
      </w:r>
    </w:p>
    <w:p w14:paraId="0A933D7A" w14:textId="1CE4C0FE" w:rsidR="002F55EF" w:rsidRPr="002F55EF" w:rsidRDefault="002F55EF" w:rsidP="002F55EF">
      <w:pPr>
        <w:spacing w:line="360" w:lineRule="auto"/>
        <w:ind w:firstLine="709"/>
        <w:jc w:val="both"/>
        <w:rPr>
          <w:sz w:val="24"/>
        </w:rPr>
      </w:pPr>
      <w:r w:rsidRPr="002F55EF">
        <w:rPr>
          <w:sz w:val="24"/>
        </w:rPr>
        <w:t xml:space="preserve">O segundo movimento, formar-se sem se afastar de si, articula memória, ancestralidade e autoria epistêmica. Os ensinamentos da </w:t>
      </w:r>
      <w:proofErr w:type="spellStart"/>
      <w:r w:rsidR="00EF1F87">
        <w:rPr>
          <w:sz w:val="24"/>
        </w:rPr>
        <w:t>biza</w:t>
      </w:r>
      <w:proofErr w:type="spellEnd"/>
      <w:r w:rsidRPr="002F55EF">
        <w:rPr>
          <w:sz w:val="24"/>
        </w:rPr>
        <w:t xml:space="preserve">, da avó e dos mais velhos orientam modos de escuta, cuidado e relação com a comunidade. Ao mesmo tempo, a pouca presença de autoras e autores negros, quilombolas, africanos e </w:t>
      </w:r>
      <w:proofErr w:type="spellStart"/>
      <w:r w:rsidRPr="002F55EF">
        <w:rPr>
          <w:sz w:val="24"/>
        </w:rPr>
        <w:t>afro-diaspóricos</w:t>
      </w:r>
      <w:proofErr w:type="spellEnd"/>
      <w:r w:rsidRPr="002F55EF">
        <w:rPr>
          <w:sz w:val="24"/>
        </w:rPr>
        <w:t xml:space="preserve"> na formação em Psicologia produz tensões que são reelaboradas pelo encontro com leituras capazes de nomear experiências antes percebidas de forma fragmentada. A leitura opera, assim, como tática de autorreconhecimento e disputa curricular. Os dois movimentos não apagam os quatro eixos inicialmente identificados; aproximam suas relações para mostrar como recursos materiais, territoriais, afetivos, comunitários, políticos e epistêmicos se sustentam mutuamente.</w:t>
      </w:r>
    </w:p>
    <w:p w14:paraId="4DAA2FBC" w14:textId="77777777" w:rsidR="002F55EF" w:rsidRPr="002F55EF" w:rsidRDefault="002F55EF" w:rsidP="002F55EF">
      <w:pPr>
        <w:spacing w:line="360" w:lineRule="auto"/>
        <w:ind w:firstLine="709"/>
        <w:jc w:val="both"/>
        <w:rPr>
          <w:sz w:val="24"/>
        </w:rPr>
      </w:pPr>
      <w:r w:rsidRPr="002F55EF">
        <w:rPr>
          <w:sz w:val="24"/>
        </w:rPr>
        <w:t>Embora provisórios, os resultados indicam que a permanência se produz na tensão entre direitos conquistados, insuficiências institucionais e práticas coletivas de sustentação da trajetória. Trabalho, deslocamentos, vínculos familiares, amizades, organização estudantil e leituras antirracistas compõem uma trama na qual algumas táticas assumem sentidos de (</w:t>
      </w:r>
      <w:proofErr w:type="spellStart"/>
      <w:r w:rsidRPr="002F55EF">
        <w:rPr>
          <w:sz w:val="24"/>
        </w:rPr>
        <w:t>re</w:t>
      </w:r>
      <w:proofErr w:type="spellEnd"/>
      <w:r w:rsidRPr="002F55EF">
        <w:rPr>
          <w:sz w:val="24"/>
        </w:rPr>
        <w:t>)existência ao ampliar pertencimento, memória, autoria e organização coletiva. Ao aproximar trajetória, território e formação, a pesquisa contribui para os debates sobre ações afirmativas, racismo institucional e descolonização da universidade e da Psicologia. A permanência quilombola aparece como processo psicossocial e formativo, e a experiência quilombola, como lugar legítimo de produção de conhecimento.</w:t>
      </w:r>
    </w:p>
    <w:p w14:paraId="44E30362" w14:textId="77777777" w:rsidR="00A901A5" w:rsidRDefault="002F55EF" w:rsidP="00EF1F87">
      <w:pPr>
        <w:spacing w:line="360" w:lineRule="auto"/>
        <w:jc w:val="both"/>
        <w:rPr>
          <w:sz w:val="24"/>
        </w:rPr>
      </w:pPr>
      <w:r w:rsidRPr="002F55EF">
        <w:rPr>
          <w:b/>
          <w:sz w:val="24"/>
        </w:rPr>
        <w:t>PALAVRAS-CHAVE</w:t>
      </w:r>
    </w:p>
    <w:p w14:paraId="54059128" w14:textId="77777777" w:rsidR="00A901A5" w:rsidRDefault="002F55EF" w:rsidP="00EF1F87">
      <w:pPr>
        <w:spacing w:line="360" w:lineRule="auto"/>
        <w:jc w:val="both"/>
        <w:rPr>
          <w:sz w:val="24"/>
        </w:rPr>
      </w:pPr>
      <w:r w:rsidRPr="002F55EF">
        <w:rPr>
          <w:sz w:val="24"/>
        </w:rPr>
        <w:t>Estudantes quilombolas; permanência universitária; escrevivência; aquilombamento; decolonialidade.</w:t>
      </w:r>
    </w:p>
    <w:p w14:paraId="749E7B1A" w14:textId="77777777" w:rsidR="00A901A5" w:rsidRDefault="002F55EF" w:rsidP="00EF1F87">
      <w:pPr>
        <w:spacing w:line="360" w:lineRule="auto"/>
        <w:jc w:val="both"/>
        <w:rPr>
          <w:sz w:val="24"/>
        </w:rPr>
      </w:pPr>
      <w:r w:rsidRPr="002F55EF">
        <w:rPr>
          <w:b/>
          <w:sz w:val="24"/>
        </w:rPr>
        <w:t>REFERÊNCIAS</w:t>
      </w:r>
    </w:p>
    <w:p w14:paraId="7EE590E6" w14:textId="77777777" w:rsidR="00A901A5" w:rsidRDefault="002F55EF" w:rsidP="00EF1F87">
      <w:pPr>
        <w:spacing w:line="360" w:lineRule="auto"/>
        <w:jc w:val="both"/>
        <w:rPr>
          <w:sz w:val="24"/>
        </w:rPr>
      </w:pPr>
      <w:r w:rsidRPr="002F55EF">
        <w:rPr>
          <w:sz w:val="24"/>
        </w:rPr>
        <w:t>CERTEAU, Michel de. A invenção do cotidiano: 1. Artes de fazer. 3. ed. Petrópolis: Vozes, 1998.</w:t>
      </w:r>
    </w:p>
    <w:p w14:paraId="47F4BC85" w14:textId="77777777" w:rsidR="00A901A5" w:rsidRDefault="002F55EF" w:rsidP="00EF1F87">
      <w:pPr>
        <w:spacing w:line="360" w:lineRule="auto"/>
        <w:jc w:val="both"/>
        <w:rPr>
          <w:sz w:val="24"/>
        </w:rPr>
      </w:pPr>
      <w:r w:rsidRPr="002F55EF">
        <w:rPr>
          <w:sz w:val="24"/>
        </w:rPr>
        <w:t>EVARISTO, Conceição. A escrevivência e seus subtextos. In: DUARTE, Constância Lima; NUNES, Isabella Rosado (org.). Escrevivência: a escrita de nós: reflexões sobre a obra de Conceição Evaristo. Rio de Janeiro: Mina Comunicação e Arte, 2020. p. 26-46.</w:t>
      </w:r>
    </w:p>
    <w:p w14:paraId="12F102A0" w14:textId="77777777" w:rsidR="00A901A5" w:rsidRDefault="002F55EF" w:rsidP="00EF1F87">
      <w:pPr>
        <w:spacing w:line="360" w:lineRule="auto"/>
        <w:jc w:val="both"/>
        <w:rPr>
          <w:sz w:val="24"/>
        </w:rPr>
      </w:pPr>
      <w:r w:rsidRPr="002F55EF">
        <w:rPr>
          <w:sz w:val="24"/>
        </w:rPr>
        <w:t>RUFINO, Luiz. Pedagogia das encruzilhadas. Rio de Janeiro: Mórula, 2019.</w:t>
      </w:r>
    </w:p>
    <w:p w14:paraId="42FE7277" w14:textId="77777777" w:rsidR="00A901A5" w:rsidRDefault="002F55EF" w:rsidP="00EF1F87">
      <w:pPr>
        <w:spacing w:line="360" w:lineRule="auto"/>
        <w:jc w:val="both"/>
        <w:rPr>
          <w:sz w:val="24"/>
        </w:rPr>
      </w:pPr>
      <w:r w:rsidRPr="002F55EF">
        <w:rPr>
          <w:sz w:val="24"/>
        </w:rPr>
        <w:lastRenderedPageBreak/>
        <w:t>SOUZA, Elizeu Clementino de. Diálogos cruzados sobre pesquisa (auto)biográfica: análise compreensiva-interpretativa e política de sentido. Educação, Santa Maria, v. 39, n. 1, p. 39-50, jan./abr. 2014.</w:t>
      </w:r>
    </w:p>
    <w:sectPr w:rsidR="00A901A5" w:rsidSect="00EF1F87">
      <w:headerReference w:type="default" r:id="rId6"/>
      <w:footerReference w:type="default" r:id="rId7"/>
      <w:headerReference w:type="first" r:id="rId8"/>
      <w:footerReference w:type="first" r:id="rId9"/>
      <w:pgSz w:w="11906" w:h="16838"/>
      <w:pgMar w:top="1134" w:right="1134" w:bottom="1134"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F7B7E" w14:textId="77777777" w:rsidR="00686057" w:rsidRDefault="00686057">
      <w:pPr>
        <w:spacing w:line="240" w:lineRule="auto"/>
      </w:pPr>
      <w:r>
        <w:separator/>
      </w:r>
    </w:p>
  </w:endnote>
  <w:endnote w:type="continuationSeparator" w:id="0">
    <w:p w14:paraId="40AA2762" w14:textId="77777777" w:rsidR="00686057" w:rsidRDefault="0068605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A5B361C-716C-45DE-9C95-B4D9E730BA9F}"/>
  </w:font>
  <w:font w:name="Cambria">
    <w:panose1 w:val="02040503050406030204"/>
    <w:charset w:val="00"/>
    <w:family w:val="roman"/>
    <w:pitch w:val="variable"/>
    <w:sig w:usb0="E00006FF" w:usb1="420024FF" w:usb2="02000000" w:usb3="00000000" w:csb0="0000019F" w:csb1="00000000"/>
    <w:embedRegular r:id="rId2" w:fontKey="{02D477B4-AAD9-43D9-83B9-90D08C24D52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9A379" w14:textId="1E724708" w:rsidR="007D08F8" w:rsidRDefault="00385490">
    <w:pPr>
      <w:jc w:val="center"/>
    </w:pPr>
    <w:r>
      <w:fldChar w:fldCharType="begin"/>
    </w:r>
    <w:r>
      <w:instrText>PAGE</w:instrText>
    </w:r>
    <w:r>
      <w:fldChar w:fldCharType="separate"/>
    </w:r>
    <w:r w:rsidR="003A7B07">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9A37B" w14:textId="77777777" w:rsidR="007D08F8" w:rsidRDefault="007D08F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CDE27" w14:textId="77777777" w:rsidR="00686057" w:rsidRDefault="00686057">
      <w:pPr>
        <w:spacing w:line="240" w:lineRule="auto"/>
      </w:pPr>
      <w:r>
        <w:separator/>
      </w:r>
    </w:p>
  </w:footnote>
  <w:footnote w:type="continuationSeparator" w:id="0">
    <w:p w14:paraId="5F6AF001" w14:textId="77777777" w:rsidR="00686057" w:rsidRDefault="0068605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9A375" w14:textId="77777777" w:rsidR="007D08F8" w:rsidRDefault="00385490">
    <w:pPr>
      <w:jc w:val="right"/>
    </w:pPr>
    <w:r>
      <w:rPr>
        <w:noProof/>
      </w:rPr>
      <w:drawing>
        <wp:anchor distT="114300" distB="114300" distL="114300" distR="114300" simplePos="0" relativeHeight="251658240" behindDoc="1" locked="0" layoutInCell="1" hidden="0" allowOverlap="1" wp14:anchorId="3979A37C" wp14:editId="3979A37D">
          <wp:simplePos x="0" y="0"/>
          <wp:positionH relativeFrom="column">
            <wp:posOffset>5000625</wp:posOffset>
          </wp:positionH>
          <wp:positionV relativeFrom="paragraph">
            <wp:posOffset>8886825</wp:posOffset>
          </wp:positionV>
          <wp:extent cx="1700213" cy="170021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00213" cy="1700213"/>
                  </a:xfrm>
                  <a:prstGeom prst="rect">
                    <a:avLst/>
                  </a:prstGeom>
                  <a:ln/>
                </pic:spPr>
              </pic:pic>
            </a:graphicData>
          </a:graphic>
        </wp:anchor>
      </w:drawing>
    </w:r>
    <w:r>
      <w:rPr>
        <w:noProof/>
      </w:rPr>
      <w:drawing>
        <wp:anchor distT="114300" distB="114300" distL="114300" distR="114300" simplePos="0" relativeHeight="251658241" behindDoc="1" locked="0" layoutInCell="1" hidden="0" allowOverlap="1" wp14:anchorId="3979A37E" wp14:editId="3979A37F">
          <wp:simplePos x="0" y="0"/>
          <wp:positionH relativeFrom="column">
            <wp:posOffset>5791200</wp:posOffset>
          </wp:positionH>
          <wp:positionV relativeFrom="paragraph">
            <wp:posOffset>-304799</wp:posOffset>
          </wp:positionV>
          <wp:extent cx="664882" cy="762000"/>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t="235" b="235"/>
                  <a:stretch>
                    <a:fillRect/>
                  </a:stretch>
                </pic:blipFill>
                <pic:spPr>
                  <a:xfrm>
                    <a:off x="0" y="0"/>
                    <a:ext cx="664882" cy="762000"/>
                  </a:xfrm>
                  <a:prstGeom prst="rect">
                    <a:avLst/>
                  </a:prstGeom>
                  <a:ln/>
                </pic:spPr>
              </pic:pic>
            </a:graphicData>
          </a:graphic>
        </wp:anchor>
      </w:drawing>
    </w:r>
  </w:p>
  <w:p w14:paraId="3979A376" w14:textId="77777777" w:rsidR="007D08F8" w:rsidRDefault="007D08F8">
    <w:pPr>
      <w:jc w:val="right"/>
    </w:pPr>
  </w:p>
  <w:p w14:paraId="3979A377" w14:textId="77777777" w:rsidR="007D08F8" w:rsidRDefault="007D08F8">
    <w:pPr>
      <w:jc w:val="right"/>
    </w:pPr>
  </w:p>
  <w:p w14:paraId="3979A378" w14:textId="77777777" w:rsidR="007D08F8" w:rsidRDefault="00385490">
    <w:r>
      <w:rPr>
        <w:noProof/>
      </w:rPr>
      <w:drawing>
        <wp:anchor distT="114300" distB="114300" distL="114300" distR="114300" simplePos="0" relativeHeight="251658242" behindDoc="1" locked="0" layoutInCell="1" hidden="0" allowOverlap="1" wp14:anchorId="3979A380" wp14:editId="3979A381">
          <wp:simplePos x="0" y="0"/>
          <wp:positionH relativeFrom="page">
            <wp:posOffset>0</wp:posOffset>
          </wp:positionH>
          <wp:positionV relativeFrom="page">
            <wp:posOffset>-5714</wp:posOffset>
          </wp:positionV>
          <wp:extent cx="416339" cy="10716578"/>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416339" cy="10716578"/>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9A37A" w14:textId="77777777" w:rsidR="007D08F8" w:rsidRDefault="007D08F8"/>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08F8"/>
    <w:rsid w:val="00070B71"/>
    <w:rsid w:val="000D7DAB"/>
    <w:rsid w:val="000F035F"/>
    <w:rsid w:val="001B1146"/>
    <w:rsid w:val="001E76A8"/>
    <w:rsid w:val="002D4C9D"/>
    <w:rsid w:val="002F55EF"/>
    <w:rsid w:val="00375542"/>
    <w:rsid w:val="00385490"/>
    <w:rsid w:val="003A7B07"/>
    <w:rsid w:val="003C16A6"/>
    <w:rsid w:val="003C7007"/>
    <w:rsid w:val="00417056"/>
    <w:rsid w:val="00454574"/>
    <w:rsid w:val="00534144"/>
    <w:rsid w:val="0056021E"/>
    <w:rsid w:val="00586468"/>
    <w:rsid w:val="00602E9F"/>
    <w:rsid w:val="00686057"/>
    <w:rsid w:val="006A471B"/>
    <w:rsid w:val="006C5A6A"/>
    <w:rsid w:val="006F1DF6"/>
    <w:rsid w:val="007056D6"/>
    <w:rsid w:val="00723607"/>
    <w:rsid w:val="00790439"/>
    <w:rsid w:val="007D08F8"/>
    <w:rsid w:val="007F5959"/>
    <w:rsid w:val="00805F05"/>
    <w:rsid w:val="008071C9"/>
    <w:rsid w:val="00842B56"/>
    <w:rsid w:val="008449AD"/>
    <w:rsid w:val="008A4564"/>
    <w:rsid w:val="008E5795"/>
    <w:rsid w:val="009D285F"/>
    <w:rsid w:val="009E2D50"/>
    <w:rsid w:val="00A73068"/>
    <w:rsid w:val="00A80CB1"/>
    <w:rsid w:val="00A901A5"/>
    <w:rsid w:val="00AC29CD"/>
    <w:rsid w:val="00C32A59"/>
    <w:rsid w:val="00CC6E1A"/>
    <w:rsid w:val="00CD45CD"/>
    <w:rsid w:val="00D2761E"/>
    <w:rsid w:val="00D337ED"/>
    <w:rsid w:val="00DB2266"/>
    <w:rsid w:val="00E20A11"/>
    <w:rsid w:val="00E412FB"/>
    <w:rsid w:val="00EB25F1"/>
    <w:rsid w:val="00EF1F87"/>
    <w:rsid w:val="00F05B0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9A360"/>
  <w15:docId w15:val="{F9A43BC6-97C9-484D-B31D-D3A972475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Cabealho">
    <w:name w:val="header"/>
    <w:basedOn w:val="Normal"/>
    <w:link w:val="CabealhoChar"/>
    <w:uiPriority w:val="99"/>
    <w:semiHidden/>
    <w:unhideWhenUsed/>
    <w:rsid w:val="00A73068"/>
    <w:pPr>
      <w:tabs>
        <w:tab w:val="center" w:pos="4252"/>
        <w:tab w:val="right" w:pos="8504"/>
      </w:tabs>
      <w:spacing w:line="240" w:lineRule="auto"/>
    </w:pPr>
  </w:style>
  <w:style w:type="character" w:customStyle="1" w:styleId="CabealhoChar">
    <w:name w:val="Cabeçalho Char"/>
    <w:basedOn w:val="Fontepargpadro"/>
    <w:link w:val="Cabealho"/>
    <w:uiPriority w:val="99"/>
    <w:semiHidden/>
    <w:rsid w:val="00A73068"/>
  </w:style>
  <w:style w:type="paragraph" w:styleId="Rodap">
    <w:name w:val="footer"/>
    <w:basedOn w:val="Normal"/>
    <w:link w:val="RodapChar"/>
    <w:uiPriority w:val="99"/>
    <w:semiHidden/>
    <w:unhideWhenUsed/>
    <w:rsid w:val="00A73068"/>
    <w:pPr>
      <w:tabs>
        <w:tab w:val="center" w:pos="4252"/>
        <w:tab w:val="right" w:pos="8504"/>
      </w:tabs>
      <w:spacing w:line="240" w:lineRule="auto"/>
    </w:pPr>
  </w:style>
  <w:style w:type="character" w:customStyle="1" w:styleId="RodapChar">
    <w:name w:val="Rodapé Char"/>
    <w:basedOn w:val="Fontepargpadro"/>
    <w:link w:val="Rodap"/>
    <w:uiPriority w:val="99"/>
    <w:semiHidden/>
    <w:rsid w:val="00A730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4</Pages>
  <Words>1206</Words>
  <Characters>6513</Characters>
  <Application>Microsoft Office Word</Application>
  <DocSecurity>0</DocSecurity>
  <Lines>54</Lines>
  <Paragraphs>15</Paragraphs>
  <ScaleCrop>false</ScaleCrop>
  <Company/>
  <LinksUpToDate>false</LinksUpToDate>
  <CharactersWithSpaces>7704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Encruzilhadas quilombolas: táticas de (re)existências na universidade</dc:title>
  <dc:subject>Resumo expandido para o V Narrativas 2026</dc:subject>
  <dc:creator>Lucas Alves Leite; Renan Luiz; Joana Leoncio Nuñez</dc:creator>
  <cp:keywords>quilombola; permanência universitária; escrevivência; decolonialidade</cp:keywords>
  <cp:lastModifiedBy>Renan Reis</cp:lastModifiedBy>
  <cp:revision>13</cp:revision>
  <dcterms:created xsi:type="dcterms:W3CDTF">2026-07-28T11:42:00Z</dcterms:created>
  <dcterms:modified xsi:type="dcterms:W3CDTF">2026-07-29T00:03:00Z</dcterms:modified>
</cp:coreProperties>
</file>