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CF7B0C" w14:textId="77777777" w:rsidR="00613C97" w:rsidRPr="00613C97" w:rsidRDefault="00613C97" w:rsidP="00613C97">
      <w:pPr>
        <w:jc w:val="center"/>
        <w:rPr>
          <w:b/>
          <w:bCs/>
          <w:sz w:val="24"/>
          <w:szCs w:val="24"/>
        </w:rPr>
      </w:pPr>
      <w:r w:rsidRPr="00613C97">
        <w:rPr>
          <w:b/>
          <w:bCs/>
          <w:sz w:val="24"/>
          <w:szCs w:val="24"/>
        </w:rPr>
        <w:t>CONVERSATÓRIO 7 – EDUCAÇÃO ANTIRRACISTA NA EDUCAÇÃO BÁSICA: EDUCANDO PARA AS RELAÇÕES ÉTNICO-RACIAIS</w:t>
      </w:r>
    </w:p>
    <w:p w14:paraId="1D2E106F" w14:textId="77777777" w:rsidR="0038238F" w:rsidRDefault="0038238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D2E1070" w14:textId="77777777" w:rsidR="0038238F" w:rsidRDefault="0038238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4B887CF" w14:textId="77777777" w:rsidR="00326935" w:rsidRDefault="00A62F71" w:rsidP="00B65FB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65FB0" w:rsidRPr="00B37C67">
        <w:rPr>
          <w:b/>
          <w:bCs/>
          <w:sz w:val="24"/>
          <w:szCs w:val="24"/>
        </w:rPr>
        <w:t xml:space="preserve">Desafios da Educação Antirracista: Significados e Vivências </w:t>
      </w:r>
    </w:p>
    <w:p w14:paraId="38E2B2A5" w14:textId="45749658" w:rsidR="00B65FB0" w:rsidRPr="00834863" w:rsidRDefault="00B65FB0" w:rsidP="00B65FB0">
      <w:pPr>
        <w:spacing w:line="259" w:lineRule="auto"/>
        <w:jc w:val="center"/>
        <w:rPr>
          <w:b/>
          <w:bCs/>
          <w:sz w:val="24"/>
          <w:szCs w:val="24"/>
        </w:rPr>
      </w:pPr>
      <w:r w:rsidRPr="00B37C67">
        <w:rPr>
          <w:b/>
          <w:bCs/>
          <w:sz w:val="24"/>
          <w:szCs w:val="24"/>
        </w:rPr>
        <w:t>de Professores da Educação Básica sob a Lente Dialógica</w:t>
      </w:r>
    </w:p>
    <w:p w14:paraId="1D2E1074" w14:textId="77777777" w:rsidR="0038238F" w:rsidRDefault="0038238F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D2E1078" w14:textId="036C57F9" w:rsidR="0038238F" w:rsidRDefault="00A62F71" w:rsidP="00DF2569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N</w:t>
      </w:r>
      <w:r w:rsidR="00B65FB0">
        <w:rPr>
          <w:sz w:val="24"/>
          <w:szCs w:val="24"/>
        </w:rPr>
        <w:t xml:space="preserve">atália </w:t>
      </w:r>
      <w:r w:rsidR="00C7708C">
        <w:rPr>
          <w:sz w:val="24"/>
          <w:szCs w:val="24"/>
        </w:rPr>
        <w:t xml:space="preserve">Queiroz de Oliveira Souto, </w:t>
      </w:r>
      <w:r w:rsidR="00DF2569">
        <w:rPr>
          <w:sz w:val="24"/>
          <w:szCs w:val="24"/>
        </w:rPr>
        <w:t>SEEDF</w:t>
      </w:r>
      <w:r w:rsidR="00C7708C">
        <w:rPr>
          <w:sz w:val="24"/>
          <w:szCs w:val="24"/>
        </w:rPr>
        <w:t xml:space="preserve">, </w:t>
      </w:r>
      <w:hyperlink r:id="rId6" w:history="1">
        <w:r w:rsidR="00584464" w:rsidRPr="00291440">
          <w:rPr>
            <w:rStyle w:val="Hyperlink"/>
            <w:sz w:val="24"/>
            <w:szCs w:val="24"/>
          </w:rPr>
          <w:t>nathsouto@gmail.com</w:t>
        </w:r>
      </w:hyperlink>
      <w:r w:rsidR="00584464">
        <w:rPr>
          <w:sz w:val="24"/>
          <w:szCs w:val="24"/>
        </w:rPr>
        <w:t xml:space="preserve"> </w:t>
      </w:r>
    </w:p>
    <w:p w14:paraId="1D2E1079" w14:textId="77777777" w:rsidR="0038238F" w:rsidRDefault="0038238F">
      <w:pPr>
        <w:keepLines/>
        <w:widowControl w:val="0"/>
        <w:spacing w:line="240" w:lineRule="auto"/>
        <w:rPr>
          <w:sz w:val="24"/>
          <w:szCs w:val="24"/>
        </w:rPr>
      </w:pPr>
    </w:p>
    <w:p w14:paraId="1D2E107A" w14:textId="77777777" w:rsidR="0038238F" w:rsidRDefault="0038238F">
      <w:pPr>
        <w:keepLines/>
        <w:widowControl w:val="0"/>
        <w:spacing w:line="240" w:lineRule="auto"/>
        <w:rPr>
          <w:sz w:val="24"/>
          <w:szCs w:val="24"/>
        </w:rPr>
      </w:pPr>
    </w:p>
    <w:p w14:paraId="1D2E107C" w14:textId="77777777" w:rsidR="0038238F" w:rsidRDefault="00A62F71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0EA61513" w14:textId="4DF0609D" w:rsidR="00DB4D6C" w:rsidRPr="00834863" w:rsidRDefault="00DB4D6C" w:rsidP="00DB4D6C">
      <w:pPr>
        <w:spacing w:line="360" w:lineRule="auto"/>
        <w:jc w:val="both"/>
        <w:rPr>
          <w:sz w:val="24"/>
          <w:szCs w:val="24"/>
        </w:rPr>
      </w:pPr>
      <w:r w:rsidRPr="00834863">
        <w:rPr>
          <w:sz w:val="24"/>
          <w:szCs w:val="24"/>
        </w:rPr>
        <w:t>A construção da identidade na infância é um processo de mediação social no qual a escola desempenha papel decisivo. Apoiada em Vygotsky (2007), Bakhtin (2014) e Gomes (2017), esta pesquisa compreende que a identidade se forma nas interações sociais, atravessadas por discursos em disputa, e que o letramento racial pode reorientar tais interações em direção a práticas antirracistas.</w:t>
      </w:r>
      <w:r w:rsidRPr="00BD5858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 xml:space="preserve">Em uma sociedade estruturada pelo racismo (Almeida, 2019), o cotidiano escolar reproduz violências simbólicas que atingem de modo </w:t>
      </w:r>
      <w:r w:rsidRPr="00BD5858">
        <w:rPr>
          <w:sz w:val="24"/>
          <w:szCs w:val="24"/>
        </w:rPr>
        <w:t>significativo</w:t>
      </w:r>
      <w:r w:rsidRPr="00834863">
        <w:rPr>
          <w:sz w:val="24"/>
          <w:szCs w:val="24"/>
        </w:rPr>
        <w:t xml:space="preserve"> crianças negras (Cavalleiro, 2000), tornando o letramento racial um imperativo ético e político. As Leis nº 10.639/03 e nº 11.645/08 constituem marco importante, mas sua efetivação encontra obstáculos na formação docente e na organização do trabalho pedagógico. </w:t>
      </w:r>
      <w:r w:rsidRPr="00BD5858">
        <w:rPr>
          <w:sz w:val="24"/>
          <w:szCs w:val="24"/>
        </w:rPr>
        <w:t xml:space="preserve">Assim, este </w:t>
      </w:r>
      <w:r w:rsidRPr="00834863">
        <w:rPr>
          <w:sz w:val="24"/>
          <w:szCs w:val="24"/>
        </w:rPr>
        <w:t>estudo analisa significados atribuídos por professores da Educação Infantil e dos Anos Iniciais ao letramento racial e aos desafios para implementar práticas antirracistas, relacionando concepções docentes e afirmação identitária das crianças.</w:t>
      </w:r>
      <w:r w:rsidR="00584464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Metodologia</w:t>
      </w:r>
      <w:r w:rsidR="00584464" w:rsidRPr="002373DE">
        <w:rPr>
          <w:sz w:val="24"/>
          <w:szCs w:val="24"/>
        </w:rPr>
        <w:t xml:space="preserve">: </w:t>
      </w:r>
      <w:r w:rsidRPr="002373DE">
        <w:rPr>
          <w:sz w:val="24"/>
          <w:szCs w:val="24"/>
        </w:rPr>
        <w:t>Constitui-se uma abordagem</w:t>
      </w:r>
      <w:r w:rsidRPr="00834863">
        <w:rPr>
          <w:sz w:val="24"/>
          <w:szCs w:val="24"/>
        </w:rPr>
        <w:t xml:space="preserve"> qualitativa e exploratória, com </w:t>
      </w:r>
      <w:r w:rsidRPr="002373DE">
        <w:rPr>
          <w:sz w:val="24"/>
          <w:szCs w:val="24"/>
        </w:rPr>
        <w:t>informações produzidas</w:t>
      </w:r>
      <w:r w:rsidRPr="00834863">
        <w:rPr>
          <w:sz w:val="24"/>
          <w:szCs w:val="24"/>
        </w:rPr>
        <w:t xml:space="preserve"> p</w:t>
      </w:r>
      <w:r w:rsidRPr="002373DE">
        <w:rPr>
          <w:sz w:val="24"/>
          <w:szCs w:val="24"/>
        </w:rPr>
        <w:t>or meio de</w:t>
      </w:r>
      <w:r w:rsidRPr="00834863">
        <w:rPr>
          <w:sz w:val="24"/>
          <w:szCs w:val="24"/>
        </w:rPr>
        <w:t xml:space="preserve"> formulário </w:t>
      </w:r>
      <w:r w:rsidRPr="002373DE">
        <w:rPr>
          <w:sz w:val="24"/>
          <w:szCs w:val="24"/>
        </w:rPr>
        <w:t xml:space="preserve">digital aberto, </w:t>
      </w:r>
      <w:r w:rsidRPr="00834863">
        <w:rPr>
          <w:sz w:val="24"/>
          <w:szCs w:val="24"/>
        </w:rPr>
        <w:t>aplicado a</w:t>
      </w:r>
      <w:r w:rsidRPr="002373DE">
        <w:rPr>
          <w:sz w:val="24"/>
          <w:szCs w:val="24"/>
        </w:rPr>
        <w:t xml:space="preserve"> 27</w:t>
      </w:r>
      <w:r w:rsidRPr="00834863">
        <w:rPr>
          <w:sz w:val="24"/>
          <w:szCs w:val="24"/>
        </w:rPr>
        <w:t xml:space="preserve"> professores da rede pública</w:t>
      </w:r>
      <w:r w:rsidRPr="002373DE">
        <w:rPr>
          <w:sz w:val="24"/>
          <w:szCs w:val="24"/>
        </w:rPr>
        <w:t xml:space="preserve">, os quais aquiesceram na participação através do Termo de Consentimento Livre e Esclarecido. As sete </w:t>
      </w:r>
      <w:r w:rsidRPr="00834863">
        <w:rPr>
          <w:sz w:val="24"/>
          <w:szCs w:val="24"/>
        </w:rPr>
        <w:t>questões aborda</w:t>
      </w:r>
      <w:r w:rsidRPr="002373DE">
        <w:rPr>
          <w:sz w:val="24"/>
          <w:szCs w:val="24"/>
        </w:rPr>
        <w:t>ra</w:t>
      </w:r>
      <w:r w:rsidRPr="00834863">
        <w:rPr>
          <w:sz w:val="24"/>
          <w:szCs w:val="24"/>
        </w:rPr>
        <w:t>m concepções de letramento racial, experiências de exclusão entre crianças, uso de materiais afro</w:t>
      </w:r>
      <w:r w:rsidRPr="00834863">
        <w:rPr>
          <w:sz w:val="24"/>
          <w:szCs w:val="24"/>
        </w:rPr>
        <w:noBreakHyphen/>
      </w:r>
      <w:r w:rsidRPr="002373DE">
        <w:rPr>
          <w:sz w:val="24"/>
          <w:szCs w:val="24"/>
        </w:rPr>
        <w:t>referenciados entre outros aspectos</w:t>
      </w:r>
      <w:r w:rsidRPr="00834863">
        <w:rPr>
          <w:sz w:val="24"/>
          <w:szCs w:val="24"/>
        </w:rPr>
        <w:t>.</w:t>
      </w:r>
      <w:r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Adotou-se a Análise Temática Dialógica (ATD)</w:t>
      </w:r>
      <w:r w:rsidRPr="002373DE">
        <w:rPr>
          <w:sz w:val="24"/>
          <w:szCs w:val="24"/>
        </w:rPr>
        <w:t xml:space="preserve"> (Silva e Borges, 2017, </w:t>
      </w:r>
      <w:r w:rsidRPr="00834863">
        <w:rPr>
          <w:sz w:val="24"/>
          <w:szCs w:val="24"/>
        </w:rPr>
        <w:t>Bakhtin</w:t>
      </w:r>
      <w:r w:rsidRPr="002373DE">
        <w:rPr>
          <w:sz w:val="24"/>
          <w:szCs w:val="24"/>
        </w:rPr>
        <w:t xml:space="preserve">, </w:t>
      </w:r>
      <w:r w:rsidRPr="00834863">
        <w:rPr>
          <w:sz w:val="24"/>
          <w:szCs w:val="24"/>
        </w:rPr>
        <w:t>201</w:t>
      </w:r>
      <w:r w:rsidRPr="002373DE">
        <w:rPr>
          <w:sz w:val="24"/>
          <w:szCs w:val="24"/>
        </w:rPr>
        <w:t>4</w:t>
      </w:r>
      <w:r w:rsidRPr="00834863">
        <w:rPr>
          <w:sz w:val="24"/>
          <w:szCs w:val="24"/>
        </w:rPr>
        <w:t xml:space="preserve">). As respostas foram tratadas como enunciados situados; a análise envolveu </w:t>
      </w:r>
      <w:r w:rsidRPr="002373DE">
        <w:rPr>
          <w:sz w:val="24"/>
          <w:szCs w:val="24"/>
        </w:rPr>
        <w:t>a</w:t>
      </w:r>
      <w:r w:rsidRPr="00834863">
        <w:rPr>
          <w:sz w:val="24"/>
          <w:szCs w:val="24"/>
        </w:rPr>
        <w:t xml:space="preserve"> identificação de temas </w:t>
      </w:r>
      <w:r w:rsidRPr="002373DE">
        <w:rPr>
          <w:sz w:val="24"/>
          <w:szCs w:val="24"/>
        </w:rPr>
        <w:t>emergentes</w:t>
      </w:r>
      <w:r w:rsidRPr="00834863">
        <w:rPr>
          <w:sz w:val="24"/>
          <w:szCs w:val="24"/>
        </w:rPr>
        <w:t xml:space="preserve"> e articulação em redes de significados. As vozes docentes são identificadas por pseudônimos em iorubá¹</w:t>
      </w:r>
      <w:r w:rsidRPr="002373DE">
        <w:rPr>
          <w:sz w:val="24"/>
          <w:szCs w:val="24"/>
        </w:rPr>
        <w:t>.</w:t>
      </w:r>
      <w:r w:rsidR="00584464"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Resultados e Discussão</w:t>
      </w:r>
      <w:r w:rsidR="00584464" w:rsidRPr="002373DE">
        <w:rPr>
          <w:sz w:val="24"/>
          <w:szCs w:val="24"/>
        </w:rPr>
        <w:t>:</w:t>
      </w:r>
      <w:r w:rsidR="002373DE"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A análise permitiu organizar três eixos temáticos.</w:t>
      </w:r>
      <w:r w:rsidR="00584464"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Tema 1: Letramento racial e “fazer” pedagógico</w:t>
      </w:r>
      <w:r w:rsidR="002373DE" w:rsidRPr="002373DE">
        <w:rPr>
          <w:sz w:val="24"/>
          <w:szCs w:val="24"/>
        </w:rPr>
        <w:t xml:space="preserve"> - </w:t>
      </w:r>
      <w:r w:rsidRPr="002373DE">
        <w:rPr>
          <w:sz w:val="24"/>
          <w:szCs w:val="24"/>
        </w:rPr>
        <w:t>O</w:t>
      </w:r>
      <w:r w:rsidRPr="00834863">
        <w:rPr>
          <w:sz w:val="24"/>
          <w:szCs w:val="24"/>
        </w:rPr>
        <w:t xml:space="preserve"> letramento racial é associado ao combate ao racismo estrutural, ao respeito e à justiça social. Uma professora afirma que ele </w:t>
      </w:r>
      <w:r w:rsidRPr="00834863">
        <w:rPr>
          <w:i/>
          <w:iCs/>
          <w:sz w:val="24"/>
          <w:szCs w:val="24"/>
        </w:rPr>
        <w:t>“é fundamental para o combate do racismo estrutural”</w:t>
      </w:r>
      <w:r w:rsidRPr="00834863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lastRenderedPageBreak/>
        <w:t>(</w:t>
      </w:r>
      <w:proofErr w:type="spellStart"/>
      <w:r w:rsidRPr="00834863">
        <w:rPr>
          <w:sz w:val="24"/>
          <w:szCs w:val="24"/>
        </w:rPr>
        <w:t>Ajá</w:t>
      </w:r>
      <w:proofErr w:type="spellEnd"/>
      <w:r w:rsidRPr="00834863">
        <w:rPr>
          <w:sz w:val="24"/>
          <w:szCs w:val="24"/>
        </w:rPr>
        <w:t>)</w:t>
      </w:r>
      <w:r w:rsidRPr="00BD5858">
        <w:rPr>
          <w:rStyle w:val="Refdenotaderodap"/>
          <w:sz w:val="24"/>
          <w:szCs w:val="24"/>
        </w:rPr>
        <w:footnoteReference w:id="1"/>
      </w:r>
      <w:r w:rsidRPr="00834863">
        <w:rPr>
          <w:sz w:val="24"/>
          <w:szCs w:val="24"/>
        </w:rPr>
        <w:t>. Outra destaca o compromisso em “</w:t>
      </w:r>
      <w:r w:rsidRPr="00834863">
        <w:rPr>
          <w:i/>
          <w:iCs/>
          <w:sz w:val="24"/>
          <w:szCs w:val="24"/>
        </w:rPr>
        <w:t>romper práticas racistas, buscar uma sociedade menos desigual [...] e deixar o legado do antirracismo para as futuras gerações”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Ẹja</w:t>
      </w:r>
      <w:proofErr w:type="spellEnd"/>
      <w:r w:rsidRPr="00834863">
        <w:rPr>
          <w:sz w:val="24"/>
          <w:szCs w:val="24"/>
        </w:rPr>
        <w:t>).</w:t>
      </w:r>
      <w:r w:rsidR="002373DE">
        <w:rPr>
          <w:sz w:val="24"/>
          <w:szCs w:val="24"/>
        </w:rPr>
        <w:t xml:space="preserve"> </w:t>
      </w:r>
      <w:r w:rsidRPr="00BD5858">
        <w:rPr>
          <w:sz w:val="24"/>
          <w:szCs w:val="24"/>
        </w:rPr>
        <w:t>A</w:t>
      </w:r>
      <w:r w:rsidRPr="00834863">
        <w:rPr>
          <w:sz w:val="24"/>
          <w:szCs w:val="24"/>
        </w:rPr>
        <w:t xml:space="preserve"> literatura afro</w:t>
      </w:r>
      <w:r w:rsidRPr="00834863">
        <w:rPr>
          <w:sz w:val="24"/>
          <w:szCs w:val="24"/>
        </w:rPr>
        <w:noBreakHyphen/>
        <w:t>referenciada e outros materiais aparecem como estratégias centrais. Um relato evidencia tensionamentos com estereótipos: “</w:t>
      </w:r>
      <w:r w:rsidRPr="00834863">
        <w:rPr>
          <w:i/>
          <w:iCs/>
          <w:sz w:val="24"/>
          <w:szCs w:val="24"/>
        </w:rPr>
        <w:t>Uso bastante a literatura afro nas rodas de leitura (...), mas já houve uma situação em que fiz a leitura de um livro que tinha uma personagem negra e um dos alunos comentou: ‘Ela é linda, só que é negra!’”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Ẹyẹ</w:t>
      </w:r>
      <w:proofErr w:type="spellEnd"/>
      <w:r w:rsidRPr="00834863">
        <w:rPr>
          <w:sz w:val="24"/>
          <w:szCs w:val="24"/>
        </w:rPr>
        <w:t xml:space="preserve">). Em outra experiência, a intervenção desloca a autoimagem: </w:t>
      </w:r>
      <w:r w:rsidRPr="00834863">
        <w:rPr>
          <w:i/>
          <w:iCs/>
          <w:sz w:val="24"/>
          <w:szCs w:val="24"/>
        </w:rPr>
        <w:t>“Uma criança que antes demonstrava incômodo com seu cabelo passou a falar dele com mais orgulho”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Máálú</w:t>
      </w:r>
      <w:proofErr w:type="spellEnd"/>
      <w:r w:rsidRPr="00834863">
        <w:rPr>
          <w:sz w:val="24"/>
          <w:szCs w:val="24"/>
        </w:rPr>
        <w:t>). Essas falas indicam que materiais afro</w:t>
      </w:r>
      <w:r w:rsidRPr="00834863">
        <w:rPr>
          <w:sz w:val="24"/>
          <w:szCs w:val="24"/>
        </w:rPr>
        <w:noBreakHyphen/>
        <w:t xml:space="preserve">referenciados, articulados à mediação discursiva, tensionam padrões estéticos </w:t>
      </w:r>
      <w:proofErr w:type="spellStart"/>
      <w:r w:rsidRPr="00834863">
        <w:rPr>
          <w:sz w:val="24"/>
          <w:szCs w:val="24"/>
        </w:rPr>
        <w:t>eurocentrados</w:t>
      </w:r>
      <w:proofErr w:type="spellEnd"/>
      <w:r w:rsidRPr="00834863">
        <w:rPr>
          <w:sz w:val="24"/>
          <w:szCs w:val="24"/>
        </w:rPr>
        <w:t xml:space="preserve"> e favorecem o reconhecimento positivo da identidade negra.</w:t>
      </w:r>
      <w:r w:rsidR="002373DE"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Tema 2: Conflitos, mediação e angústias docentes</w:t>
      </w:r>
      <w:r w:rsidR="002373DE" w:rsidRPr="002373DE">
        <w:rPr>
          <w:sz w:val="24"/>
          <w:szCs w:val="24"/>
        </w:rPr>
        <w:t xml:space="preserve"> -</w:t>
      </w:r>
      <w:r w:rsidR="002373DE">
        <w:rPr>
          <w:b/>
          <w:bCs/>
          <w:sz w:val="24"/>
          <w:szCs w:val="24"/>
        </w:rPr>
        <w:t xml:space="preserve"> </w:t>
      </w:r>
      <w:r w:rsidRPr="00BD5858">
        <w:rPr>
          <w:sz w:val="24"/>
          <w:szCs w:val="24"/>
        </w:rPr>
        <w:t>O</w:t>
      </w:r>
      <w:r w:rsidRPr="00834863">
        <w:rPr>
          <w:sz w:val="24"/>
          <w:szCs w:val="24"/>
        </w:rPr>
        <w:t xml:space="preserve">s docentes relatam episódios de exclusão racial e estratégias de intervenção. Uma professora diz: </w:t>
      </w:r>
      <w:r w:rsidRPr="00834863">
        <w:rPr>
          <w:i/>
          <w:iCs/>
          <w:sz w:val="24"/>
          <w:szCs w:val="24"/>
        </w:rPr>
        <w:t>“De imediato realizei apenas uma conversa com toda a turma, confesso que não me senti preparada para uma mediação de qualidade. Em outro momento, após procurar ajuda, abordei temas como respeito às diferenças, diversidade, identidade, cultura afro</w:t>
      </w:r>
      <w:r w:rsidRPr="00834863">
        <w:rPr>
          <w:i/>
          <w:iCs/>
          <w:sz w:val="24"/>
          <w:szCs w:val="24"/>
        </w:rPr>
        <w:noBreakHyphen/>
        <w:t>brasileira e indígena”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Ajá</w:t>
      </w:r>
      <w:proofErr w:type="spellEnd"/>
      <w:r w:rsidRPr="00834863">
        <w:rPr>
          <w:sz w:val="24"/>
          <w:szCs w:val="24"/>
        </w:rPr>
        <w:t xml:space="preserve">). Outra descreve agressão verbal entre crianças negras: </w:t>
      </w:r>
      <w:r w:rsidRPr="00834863">
        <w:rPr>
          <w:i/>
          <w:iCs/>
          <w:sz w:val="24"/>
          <w:szCs w:val="24"/>
        </w:rPr>
        <w:t xml:space="preserve">“Certa vez uma criança chamou outra de </w:t>
      </w:r>
      <w:proofErr w:type="gramStart"/>
      <w:r w:rsidRPr="00BD5858">
        <w:rPr>
          <w:i/>
          <w:iCs/>
          <w:sz w:val="24"/>
          <w:szCs w:val="24"/>
        </w:rPr>
        <w:t>“</w:t>
      </w:r>
      <w:r w:rsidRPr="00834863">
        <w:rPr>
          <w:i/>
          <w:iCs/>
          <w:sz w:val="24"/>
          <w:szCs w:val="24"/>
        </w:rPr>
        <w:t>nega safada</w:t>
      </w:r>
      <w:r w:rsidRPr="00BD5858">
        <w:rPr>
          <w:i/>
          <w:iCs/>
          <w:sz w:val="24"/>
          <w:szCs w:val="24"/>
        </w:rPr>
        <w:t>”</w:t>
      </w:r>
      <w:proofErr w:type="gramEnd"/>
      <w:r w:rsidRPr="00834863">
        <w:rPr>
          <w:i/>
          <w:iCs/>
          <w:sz w:val="24"/>
          <w:szCs w:val="24"/>
        </w:rPr>
        <w:t>. Chamei as duas crianças e conversei que esse tipo de comentário não deve ser feito [...] e que essa atitude dentro da escola não era aceitável”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Ẹkùn</w:t>
      </w:r>
      <w:proofErr w:type="spellEnd"/>
      <w:r w:rsidRPr="00834863">
        <w:rPr>
          <w:sz w:val="24"/>
          <w:szCs w:val="24"/>
        </w:rPr>
        <w:t>).</w:t>
      </w:r>
      <w:r w:rsid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 xml:space="preserve">Um caso emblemático envolve a animalização de uma criança negra: </w:t>
      </w:r>
      <w:r w:rsidRPr="00834863">
        <w:rPr>
          <w:i/>
          <w:iCs/>
          <w:sz w:val="24"/>
          <w:szCs w:val="24"/>
        </w:rPr>
        <w:t>“Entre duas crianças, uma negra e outra branca, em uma turma de 3º ano. A menina branca desenhava um macaco e mostrava para a outra e ria. A criança atingida se isolou e fiz intervenção junto a toda a turma”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Kétèké</w:t>
      </w:r>
      <w:proofErr w:type="spellEnd"/>
      <w:r w:rsidRPr="00BD5858">
        <w:rPr>
          <w:sz w:val="24"/>
          <w:szCs w:val="24"/>
        </w:rPr>
        <w:t>)</w:t>
      </w:r>
      <w:r w:rsidRPr="00834863">
        <w:rPr>
          <w:sz w:val="24"/>
          <w:szCs w:val="24"/>
        </w:rPr>
        <w:t xml:space="preserve">. Em outra fala, a professora afirma: </w:t>
      </w:r>
      <w:r w:rsidRPr="00834863">
        <w:rPr>
          <w:i/>
          <w:iCs/>
          <w:sz w:val="24"/>
          <w:szCs w:val="24"/>
        </w:rPr>
        <w:t>“Me senti despreparada para mediar as conversas”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Ẹja</w:t>
      </w:r>
      <w:proofErr w:type="spellEnd"/>
      <w:r w:rsidRPr="00834863">
        <w:rPr>
          <w:sz w:val="24"/>
          <w:szCs w:val="24"/>
        </w:rPr>
        <w:t>). Esses relatos sugerem que lacunas formativas fragilizam a proteção das crianças vítimas de racismo e impactam autoestima e pertencimento (Munanga, 2005).</w:t>
      </w:r>
      <w:r w:rsidR="002373DE" w:rsidRP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Tema 3: Barreiras estruturais e polifonia na rede de apoio</w:t>
      </w:r>
      <w:r w:rsidR="002373DE" w:rsidRPr="002373DE">
        <w:rPr>
          <w:sz w:val="24"/>
          <w:szCs w:val="24"/>
        </w:rPr>
        <w:t xml:space="preserve"> - </w:t>
      </w:r>
      <w:r w:rsidRPr="002373DE">
        <w:rPr>
          <w:sz w:val="24"/>
          <w:szCs w:val="24"/>
        </w:rPr>
        <w:t>São</w:t>
      </w:r>
      <w:r w:rsidRPr="00BD5858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evidencia</w:t>
      </w:r>
      <w:r w:rsidRPr="00BD5858">
        <w:rPr>
          <w:sz w:val="24"/>
          <w:szCs w:val="24"/>
        </w:rPr>
        <w:t xml:space="preserve">das algumas </w:t>
      </w:r>
      <w:r w:rsidRPr="00834863">
        <w:rPr>
          <w:sz w:val="24"/>
          <w:szCs w:val="24"/>
        </w:rPr>
        <w:t xml:space="preserve">barreiras formativas, materiais e ideológicas. Aparecem enunciados como: </w:t>
      </w:r>
      <w:r w:rsidRPr="00834863">
        <w:rPr>
          <w:i/>
          <w:iCs/>
          <w:sz w:val="24"/>
          <w:szCs w:val="24"/>
        </w:rPr>
        <w:t>“Confesso que nunca pensei na implementação de um trabalho, até porque não me sinto preparada para tal, nunca tive formação”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Ajá</w:t>
      </w:r>
      <w:proofErr w:type="spellEnd"/>
      <w:r w:rsidRPr="00834863">
        <w:rPr>
          <w:sz w:val="24"/>
          <w:szCs w:val="24"/>
        </w:rPr>
        <w:t xml:space="preserve">); </w:t>
      </w:r>
      <w:r w:rsidRPr="00834863">
        <w:rPr>
          <w:i/>
          <w:iCs/>
          <w:sz w:val="24"/>
          <w:szCs w:val="24"/>
        </w:rPr>
        <w:t>“As principais barreiras são o desconhecimento do tema, a invisibilidade do racismo – em especial as microagressões – e falta de sensibilidade”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Ẹja</w:t>
      </w:r>
      <w:proofErr w:type="spellEnd"/>
      <w:r w:rsidRPr="00834863">
        <w:rPr>
          <w:sz w:val="24"/>
          <w:szCs w:val="24"/>
        </w:rPr>
        <w:t xml:space="preserve">). Também surgem limitações materiais: </w:t>
      </w:r>
      <w:r w:rsidRPr="00834863">
        <w:rPr>
          <w:i/>
          <w:iCs/>
          <w:sz w:val="24"/>
          <w:szCs w:val="24"/>
        </w:rPr>
        <w:t xml:space="preserve">“Nem brinquedo como bonecas negras temos em </w:t>
      </w:r>
      <w:r w:rsidRPr="00834863">
        <w:rPr>
          <w:i/>
          <w:iCs/>
          <w:sz w:val="24"/>
          <w:szCs w:val="24"/>
        </w:rPr>
        <w:lastRenderedPageBreak/>
        <w:t>nossa escola”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Máálú</w:t>
      </w:r>
      <w:proofErr w:type="spellEnd"/>
      <w:r w:rsidRPr="00834863">
        <w:rPr>
          <w:sz w:val="24"/>
          <w:szCs w:val="24"/>
        </w:rPr>
        <w:t>).</w:t>
      </w:r>
      <w:r w:rsid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 xml:space="preserve">No plano das relações, há resistências de colegas e famílias. Uma professora relata: </w:t>
      </w:r>
      <w:r w:rsidRPr="00834863">
        <w:rPr>
          <w:i/>
          <w:iCs/>
          <w:sz w:val="24"/>
          <w:szCs w:val="24"/>
        </w:rPr>
        <w:t xml:space="preserve">“Temos colegas que sentiram na pele a dor da cultura colonial e sabem da importância, mas encontramos colegas que dizem: ‘é muito </w:t>
      </w:r>
      <w:proofErr w:type="spellStart"/>
      <w:r w:rsidRPr="00834863">
        <w:rPr>
          <w:i/>
          <w:iCs/>
          <w:sz w:val="24"/>
          <w:szCs w:val="24"/>
        </w:rPr>
        <w:t>mi</w:t>
      </w:r>
      <w:r w:rsidRPr="00834863">
        <w:rPr>
          <w:i/>
          <w:iCs/>
          <w:sz w:val="24"/>
          <w:szCs w:val="24"/>
        </w:rPr>
        <w:noBreakHyphen/>
        <w:t>mi</w:t>
      </w:r>
      <w:r w:rsidRPr="00834863">
        <w:rPr>
          <w:i/>
          <w:iCs/>
          <w:sz w:val="24"/>
          <w:szCs w:val="24"/>
        </w:rPr>
        <w:noBreakHyphen/>
        <w:t>mi</w:t>
      </w:r>
      <w:proofErr w:type="spellEnd"/>
      <w:r w:rsidRPr="00834863">
        <w:rPr>
          <w:i/>
          <w:iCs/>
          <w:sz w:val="24"/>
          <w:szCs w:val="24"/>
        </w:rPr>
        <w:t>’”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Ẹkùn</w:t>
      </w:r>
      <w:proofErr w:type="spellEnd"/>
      <w:r w:rsidRPr="00834863">
        <w:rPr>
          <w:sz w:val="24"/>
          <w:szCs w:val="24"/>
        </w:rPr>
        <w:t xml:space="preserve">). Outra observa: </w:t>
      </w:r>
      <w:r w:rsidRPr="00834863">
        <w:rPr>
          <w:i/>
          <w:iCs/>
          <w:sz w:val="24"/>
          <w:szCs w:val="24"/>
        </w:rPr>
        <w:t>“Percebo reações muito diferentes sobre o tema. Algumas alienadamente racistas, outras idealmente racistas, outras totalmente antirracistas”</w:t>
      </w:r>
      <w:r w:rsidRPr="00834863">
        <w:rPr>
          <w:sz w:val="24"/>
          <w:szCs w:val="24"/>
        </w:rPr>
        <w:t xml:space="preserve"> (</w:t>
      </w:r>
      <w:proofErr w:type="spellStart"/>
      <w:r w:rsidRPr="00834863">
        <w:rPr>
          <w:sz w:val="24"/>
          <w:szCs w:val="24"/>
        </w:rPr>
        <w:t>Ẹyẹ</w:t>
      </w:r>
      <w:proofErr w:type="spellEnd"/>
      <w:r w:rsidRPr="00834863">
        <w:rPr>
          <w:sz w:val="24"/>
          <w:szCs w:val="24"/>
        </w:rPr>
        <w:t>). Nas sugestões de temas para formação, destacam</w:t>
      </w:r>
      <w:r w:rsidRPr="00834863">
        <w:rPr>
          <w:sz w:val="24"/>
          <w:szCs w:val="24"/>
        </w:rPr>
        <w:noBreakHyphen/>
        <w:t>se racismo estrutural, invisibilidade do racismo, práticas antirracistas na educação infantil e estratégias de intervenção, compondo um coro que reivindica formação continuada e apoio institucional.</w:t>
      </w:r>
      <w:r w:rsidR="002373DE">
        <w:rPr>
          <w:sz w:val="24"/>
          <w:szCs w:val="24"/>
        </w:rPr>
        <w:t xml:space="preserve"> </w:t>
      </w:r>
      <w:r w:rsidRPr="00834863">
        <w:rPr>
          <w:sz w:val="24"/>
          <w:szCs w:val="24"/>
        </w:rPr>
        <w:t>Considerações Finais</w:t>
      </w:r>
      <w:r w:rsidR="002373DE" w:rsidRPr="002373DE">
        <w:rPr>
          <w:sz w:val="24"/>
          <w:szCs w:val="24"/>
        </w:rPr>
        <w:t xml:space="preserve">: </w:t>
      </w:r>
      <w:r w:rsidRPr="00834863">
        <w:rPr>
          <w:sz w:val="24"/>
          <w:szCs w:val="24"/>
        </w:rPr>
        <w:t>Os resultados indicam que os professores reconhecem a centralidade do letramento racial, mas enfrentam insegurança prática, lacunas formativas, carência de materiais e resistências nas escolas. O letramento racial não deve ser iniciativa individual, e sim diretriz institucional articulada a projetos político</w:t>
      </w:r>
      <w:r w:rsidRPr="00834863">
        <w:rPr>
          <w:sz w:val="24"/>
          <w:szCs w:val="24"/>
        </w:rPr>
        <w:noBreakHyphen/>
        <w:t xml:space="preserve">pedagógicos comprometidos com a equidade. À luz </w:t>
      </w:r>
      <w:r w:rsidRPr="00BD5858">
        <w:rPr>
          <w:sz w:val="24"/>
          <w:szCs w:val="24"/>
        </w:rPr>
        <w:t>do referencial teórico</w:t>
      </w:r>
      <w:r w:rsidRPr="00834863">
        <w:rPr>
          <w:sz w:val="24"/>
          <w:szCs w:val="24"/>
        </w:rPr>
        <w:t>, o enfrentamento ao racismo nos primeiros anos escolares é determinante para o desenvolvimento integral das crianças (Munanga, 2005). A efetivação das Leis nº 10.639/03 e nº 11.645/08 exige políticas de formação inicial e continuada, revisão curricular das licenciaturas e fortalecimento de espaços coletivos de estudo e reflexão, para que a escola se constitua como espaço decolonial e de justiça social.</w:t>
      </w:r>
    </w:p>
    <w:p w14:paraId="5E0CA76A" w14:textId="77777777" w:rsidR="00A62F71" w:rsidRDefault="00A62F71" w:rsidP="00584464">
      <w:pPr>
        <w:keepLines/>
        <w:widowControl w:val="0"/>
        <w:spacing w:line="240" w:lineRule="auto"/>
        <w:jc w:val="both"/>
        <w:rPr>
          <w:b/>
          <w:bCs/>
        </w:rPr>
      </w:pPr>
    </w:p>
    <w:p w14:paraId="14834057" w14:textId="4FB7ED05" w:rsidR="00DB4D6C" w:rsidRPr="00584464" w:rsidRDefault="00952F52" w:rsidP="00584464">
      <w:pPr>
        <w:keepLines/>
        <w:widowControl w:val="0"/>
        <w:spacing w:line="240" w:lineRule="auto"/>
        <w:jc w:val="both"/>
      </w:pPr>
      <w:r w:rsidRPr="00584464">
        <w:rPr>
          <w:b/>
          <w:bCs/>
        </w:rPr>
        <w:t xml:space="preserve">PALAVRAS-CHAVE: </w:t>
      </w:r>
      <w:r w:rsidR="00DB4D6C" w:rsidRPr="00834863">
        <w:t>Letramento Racial; Educação Básica; Formação de Professores; Análise Temática Dialógica; Relações Étnico</w:t>
      </w:r>
      <w:r w:rsidR="00DB4D6C" w:rsidRPr="00584464">
        <w:noBreakHyphen/>
        <w:t>raciais</w:t>
      </w:r>
      <w:r w:rsidR="00DB4D6C" w:rsidRPr="00834863">
        <w:t>.</w:t>
      </w:r>
    </w:p>
    <w:p w14:paraId="15DAB196" w14:textId="77777777" w:rsidR="00DB4D6C" w:rsidRPr="00834863" w:rsidRDefault="00DB4D6C" w:rsidP="00DB4D6C">
      <w:pPr>
        <w:spacing w:line="259" w:lineRule="auto"/>
        <w:jc w:val="both"/>
        <w:rPr>
          <w:sz w:val="24"/>
          <w:szCs w:val="24"/>
        </w:rPr>
      </w:pPr>
    </w:p>
    <w:p w14:paraId="60089FB9" w14:textId="77777777" w:rsidR="00DB4D6C" w:rsidRDefault="00DB4D6C" w:rsidP="00DB4D6C">
      <w:pPr>
        <w:jc w:val="both"/>
        <w:rPr>
          <w:b/>
          <w:bCs/>
          <w:sz w:val="24"/>
          <w:szCs w:val="24"/>
        </w:rPr>
      </w:pPr>
      <w:r w:rsidRPr="00834863">
        <w:rPr>
          <w:b/>
          <w:bCs/>
          <w:sz w:val="24"/>
          <w:szCs w:val="24"/>
        </w:rPr>
        <w:t>REFERÊNCIAS</w:t>
      </w:r>
    </w:p>
    <w:p w14:paraId="10A47431" w14:textId="77777777" w:rsidR="00952F52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br/>
        <w:t>ALMEIDA, Silvio Luiz de</w:t>
      </w:r>
      <w:r w:rsidRPr="00834863">
        <w:rPr>
          <w:b/>
          <w:bCs/>
          <w:sz w:val="24"/>
          <w:szCs w:val="24"/>
        </w:rPr>
        <w:t>. Racismo Estrutural</w:t>
      </w:r>
      <w:r w:rsidRPr="00834863">
        <w:rPr>
          <w:sz w:val="24"/>
          <w:szCs w:val="24"/>
        </w:rPr>
        <w:t>. São Paulo: Sueli Carneiro; Pólen, 2019.</w:t>
      </w:r>
    </w:p>
    <w:p w14:paraId="06B42CD2" w14:textId="0F5D7D81" w:rsidR="00952F52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BAKHTIN, Mikhail. </w:t>
      </w:r>
      <w:r w:rsidRPr="00834863">
        <w:rPr>
          <w:b/>
          <w:bCs/>
          <w:sz w:val="24"/>
          <w:szCs w:val="24"/>
        </w:rPr>
        <w:t>Marxismo e Filosofia da Linguagem: problemas fundamentais do método sociológico na ciência da linguagem.</w:t>
      </w:r>
      <w:r w:rsidRPr="00834863">
        <w:rPr>
          <w:sz w:val="24"/>
          <w:szCs w:val="24"/>
        </w:rPr>
        <w:t xml:space="preserve"> 16. ed. São Paulo: Hucitec, 2014.</w:t>
      </w:r>
    </w:p>
    <w:p w14:paraId="36240EC2" w14:textId="77777777" w:rsidR="00952F52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BRASIL. </w:t>
      </w:r>
      <w:r w:rsidRPr="00834863">
        <w:rPr>
          <w:b/>
          <w:bCs/>
          <w:sz w:val="24"/>
          <w:szCs w:val="24"/>
        </w:rPr>
        <w:t>Lei nº 10.639</w:t>
      </w:r>
      <w:r w:rsidRPr="00834863">
        <w:rPr>
          <w:sz w:val="24"/>
          <w:szCs w:val="24"/>
        </w:rPr>
        <w:t>, de 9 de janeiro de 2003. Brasília, DF: Presidência da República, 2003.</w:t>
      </w:r>
    </w:p>
    <w:p w14:paraId="4DB7E50C" w14:textId="77777777" w:rsidR="00952F52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BRASIL. </w:t>
      </w:r>
      <w:r w:rsidRPr="00834863">
        <w:rPr>
          <w:b/>
          <w:bCs/>
          <w:sz w:val="24"/>
          <w:szCs w:val="24"/>
        </w:rPr>
        <w:t>Lei nº 11.645</w:t>
      </w:r>
      <w:r w:rsidRPr="00834863">
        <w:rPr>
          <w:sz w:val="24"/>
          <w:szCs w:val="24"/>
        </w:rPr>
        <w:t>, de 10 de março de 2008. Brasília, DF: Presidência da República, 2008.</w:t>
      </w:r>
    </w:p>
    <w:p w14:paraId="7BC197B2" w14:textId="77777777" w:rsidR="00584464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CAVALLEIRO, Eliane dos Santos. </w:t>
      </w:r>
      <w:r w:rsidRPr="00834863">
        <w:rPr>
          <w:b/>
          <w:bCs/>
          <w:sz w:val="24"/>
          <w:szCs w:val="24"/>
        </w:rPr>
        <w:t>Do silêncio do lar ao silêncio escolar: racismo, preconceito e discriminação na educação infantil</w:t>
      </w:r>
      <w:r w:rsidRPr="00834863">
        <w:rPr>
          <w:sz w:val="24"/>
          <w:szCs w:val="24"/>
        </w:rPr>
        <w:t>. São Paulo: Contexto, 2000.</w:t>
      </w:r>
    </w:p>
    <w:p w14:paraId="0A47F332" w14:textId="4CE58458" w:rsidR="00DB4D6C" w:rsidRPr="00BD5858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GOMES, Nilma Lino. </w:t>
      </w:r>
      <w:r w:rsidRPr="00834863">
        <w:rPr>
          <w:b/>
          <w:bCs/>
          <w:sz w:val="24"/>
          <w:szCs w:val="24"/>
        </w:rPr>
        <w:t>O Movimento Negro Educador: saberes construídos nas lutas por emancipação</w:t>
      </w:r>
      <w:r w:rsidRPr="00834863">
        <w:rPr>
          <w:sz w:val="24"/>
          <w:szCs w:val="24"/>
        </w:rPr>
        <w:t>. Petrópolis: Vozes, 2017.</w:t>
      </w:r>
    </w:p>
    <w:p w14:paraId="05497160" w14:textId="77777777" w:rsidR="00DB4D6C" w:rsidRPr="00BD5858" w:rsidRDefault="00DB4D6C" w:rsidP="00952F52">
      <w:pPr>
        <w:spacing w:after="240"/>
        <w:jc w:val="both"/>
        <w:rPr>
          <w:sz w:val="24"/>
          <w:szCs w:val="24"/>
        </w:rPr>
      </w:pPr>
      <w:r w:rsidRPr="00834863">
        <w:rPr>
          <w:sz w:val="24"/>
          <w:szCs w:val="24"/>
        </w:rPr>
        <w:lastRenderedPageBreak/>
        <w:t xml:space="preserve">MUNANGA, Kabengele (org.). </w:t>
      </w:r>
      <w:r w:rsidRPr="00834863">
        <w:rPr>
          <w:b/>
          <w:bCs/>
          <w:sz w:val="24"/>
          <w:szCs w:val="24"/>
        </w:rPr>
        <w:t>Superando o Racismo na escola</w:t>
      </w:r>
      <w:r w:rsidRPr="00834863">
        <w:rPr>
          <w:sz w:val="24"/>
          <w:szCs w:val="24"/>
        </w:rPr>
        <w:t>. 2. ed. rev. Brasília: Ministério da Educação, 2005.</w:t>
      </w:r>
    </w:p>
    <w:p w14:paraId="6D8F29CB" w14:textId="77777777" w:rsidR="00DB4D6C" w:rsidRPr="00BD5858" w:rsidRDefault="00DB4D6C" w:rsidP="00952F52">
      <w:pPr>
        <w:spacing w:after="240"/>
        <w:jc w:val="both"/>
        <w:rPr>
          <w:rFonts w:eastAsia="Times New Roman"/>
          <w:color w:val="000000"/>
          <w:sz w:val="24"/>
          <w:szCs w:val="24"/>
        </w:rPr>
      </w:pPr>
      <w:r w:rsidRPr="00BD5858">
        <w:rPr>
          <w:sz w:val="24"/>
          <w:szCs w:val="24"/>
        </w:rPr>
        <w:t>SILVA, Cátia Cândido da; BORGES, Fabrícia Teixeira. Análise Temática Dialógica como método de análise de dados verbais em pesquisas qualitativas.</w:t>
      </w:r>
      <w:r w:rsidRPr="00BD5858">
        <w:rPr>
          <w:b/>
          <w:bCs/>
          <w:sz w:val="24"/>
          <w:szCs w:val="24"/>
        </w:rPr>
        <w:t> Linhas Críticas</w:t>
      </w:r>
      <w:r w:rsidRPr="00BD5858">
        <w:rPr>
          <w:sz w:val="24"/>
          <w:szCs w:val="24"/>
        </w:rPr>
        <w:t>, Brasília, v. 23, n. 51, p. 245-267, set. 2017.</w:t>
      </w:r>
    </w:p>
    <w:p w14:paraId="28433A3F" w14:textId="77777777" w:rsidR="00DB4D6C" w:rsidRPr="000863F8" w:rsidRDefault="00DB4D6C" w:rsidP="00952F52">
      <w:pPr>
        <w:spacing w:after="240" w:line="259" w:lineRule="auto"/>
        <w:jc w:val="both"/>
        <w:rPr>
          <w:sz w:val="24"/>
          <w:szCs w:val="24"/>
        </w:rPr>
      </w:pPr>
      <w:r w:rsidRPr="00834863">
        <w:rPr>
          <w:sz w:val="24"/>
          <w:szCs w:val="24"/>
        </w:rPr>
        <w:t xml:space="preserve">VYGOTSKY, Lev S. </w:t>
      </w:r>
      <w:r w:rsidRPr="00834863">
        <w:rPr>
          <w:b/>
          <w:bCs/>
          <w:sz w:val="24"/>
          <w:szCs w:val="24"/>
        </w:rPr>
        <w:t>A formação social da mente: o desenvolvimento dos processos psicológicos superiores</w:t>
      </w:r>
      <w:r w:rsidRPr="00834863">
        <w:rPr>
          <w:sz w:val="24"/>
          <w:szCs w:val="24"/>
        </w:rPr>
        <w:t>. 7. ed. São Paulo: Martins Fontes, 2007.</w:t>
      </w:r>
    </w:p>
    <w:p w14:paraId="0EB8680C" w14:textId="77777777" w:rsidR="00DB4D6C" w:rsidRDefault="00DB4D6C" w:rsidP="00952F52">
      <w:pPr>
        <w:keepLines/>
        <w:widowControl w:val="0"/>
        <w:spacing w:after="240" w:line="360" w:lineRule="auto"/>
        <w:jc w:val="both"/>
        <w:rPr>
          <w:sz w:val="24"/>
          <w:szCs w:val="24"/>
        </w:rPr>
      </w:pPr>
    </w:p>
    <w:sectPr w:rsidR="00DB4D6C" w:rsidSect="00A62F71">
      <w:headerReference w:type="default" r:id="rId7"/>
      <w:footerReference w:type="default" r:id="rId8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2E10A7" w14:textId="77777777" w:rsidR="00A62F71" w:rsidRDefault="00A62F71">
      <w:pPr>
        <w:spacing w:line="240" w:lineRule="auto"/>
      </w:pPr>
      <w:r>
        <w:separator/>
      </w:r>
    </w:p>
  </w:endnote>
  <w:endnote w:type="continuationSeparator" w:id="0">
    <w:p w14:paraId="1D2E10A9" w14:textId="77777777" w:rsidR="00A62F71" w:rsidRDefault="00A62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7D619E6-8C07-43AC-B0F0-CD5DB717B78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0A27B61-74BD-4CC9-8C7A-A322F12D26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10A0" w14:textId="73F0C9DB" w:rsidR="0038238F" w:rsidRDefault="00A62F71">
    <w:pPr>
      <w:jc w:val="center"/>
    </w:pPr>
    <w:r>
      <w:fldChar w:fldCharType="begin"/>
    </w:r>
    <w:r>
      <w:instrText>PAGE</w:instrText>
    </w:r>
    <w:r>
      <w:fldChar w:fldCharType="separate"/>
    </w:r>
    <w:r w:rsidR="00B76B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E10A3" w14:textId="77777777" w:rsidR="00A62F71" w:rsidRDefault="00A62F71">
      <w:pPr>
        <w:spacing w:line="240" w:lineRule="auto"/>
      </w:pPr>
      <w:r>
        <w:separator/>
      </w:r>
    </w:p>
  </w:footnote>
  <w:footnote w:type="continuationSeparator" w:id="0">
    <w:p w14:paraId="1D2E10A5" w14:textId="77777777" w:rsidR="00A62F71" w:rsidRDefault="00A62F71">
      <w:pPr>
        <w:spacing w:line="240" w:lineRule="auto"/>
      </w:pPr>
      <w:r>
        <w:continuationSeparator/>
      </w:r>
    </w:p>
  </w:footnote>
  <w:footnote w:id="1">
    <w:p w14:paraId="361E5323" w14:textId="0A72B773" w:rsidR="00DB4D6C" w:rsidRPr="00FD0710" w:rsidRDefault="00DB4D6C" w:rsidP="00DB4D6C">
      <w:pPr>
        <w:pStyle w:val="Textodenotaderodap"/>
        <w:jc w:val="both"/>
        <w:rPr>
          <w:rFonts w:ascii="Times New Roman" w:hAnsi="Times New Roman" w:cs="Times New Roman"/>
        </w:rPr>
      </w:pPr>
      <w:r w:rsidRPr="00FD0710">
        <w:rPr>
          <w:rStyle w:val="Refdenotaderodap"/>
          <w:rFonts w:ascii="Times New Roman" w:hAnsi="Times New Roman" w:cs="Times New Roman"/>
        </w:rPr>
        <w:footnoteRef/>
      </w:r>
      <w:r w:rsidRPr="00FD0710">
        <w:rPr>
          <w:rFonts w:ascii="Times New Roman" w:hAnsi="Times New Roman" w:cs="Times New Roman"/>
        </w:rPr>
        <w:t xml:space="preserve"> </w:t>
      </w:r>
      <w:r w:rsidR="002373DE" w:rsidRPr="00FD0710">
        <w:rPr>
          <w:rFonts w:ascii="Times New Roman" w:hAnsi="Times New Roman" w:cs="Times New Roman"/>
        </w:rPr>
        <w:t>Os pseudônimos dos participantes têm</w:t>
      </w:r>
      <w:r w:rsidRPr="00FD0710">
        <w:rPr>
          <w:rFonts w:ascii="Times New Roman" w:hAnsi="Times New Roman" w:cs="Times New Roman"/>
        </w:rPr>
        <w:t xml:space="preserve"> foco na representação simbólica a partir de termos em Iorubá que nomeiam animais: </w:t>
      </w:r>
      <w:proofErr w:type="spellStart"/>
      <w:r w:rsidRPr="000863F8">
        <w:rPr>
          <w:rFonts w:ascii="Times New Roman" w:hAnsi="Times New Roman" w:cs="Times New Roman"/>
        </w:rPr>
        <w:t>Ajá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cachorro, atento e vigilante)</w:t>
      </w:r>
      <w:r w:rsidRPr="00FD0710">
        <w:rPr>
          <w:rFonts w:ascii="Times New Roman" w:hAnsi="Times New Roman" w:cs="Times New Roman"/>
        </w:rPr>
        <w:t xml:space="preserve">; </w:t>
      </w:r>
      <w:proofErr w:type="spellStart"/>
      <w:r w:rsidRPr="000863F8">
        <w:rPr>
          <w:rFonts w:ascii="Times New Roman" w:hAnsi="Times New Roman" w:cs="Times New Roman"/>
        </w:rPr>
        <w:t>Ẹja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peixe, que mergulha em profundidade)</w:t>
      </w:r>
      <w:r w:rsidRPr="00FD0710">
        <w:rPr>
          <w:rFonts w:ascii="Times New Roman" w:hAnsi="Times New Roman" w:cs="Times New Roman"/>
        </w:rPr>
        <w:t xml:space="preserve">; </w:t>
      </w:r>
      <w:proofErr w:type="spellStart"/>
      <w:r w:rsidRPr="000863F8">
        <w:rPr>
          <w:rFonts w:ascii="Times New Roman" w:hAnsi="Times New Roman" w:cs="Times New Roman"/>
        </w:rPr>
        <w:t>Ẹyẹ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pássaro, que põe em circulação as vozes</w:t>
      </w:r>
      <w:r w:rsidRPr="00FD0710">
        <w:rPr>
          <w:rFonts w:ascii="Times New Roman" w:hAnsi="Times New Roman" w:cs="Times New Roman"/>
        </w:rPr>
        <w:t xml:space="preserve">); </w:t>
      </w:r>
      <w:proofErr w:type="spellStart"/>
      <w:r w:rsidRPr="000863F8">
        <w:rPr>
          <w:rFonts w:ascii="Times New Roman" w:hAnsi="Times New Roman" w:cs="Times New Roman"/>
        </w:rPr>
        <w:t>Ẹkùn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leão, que enfrenta o conflito com firmeza</w:t>
      </w:r>
      <w:r w:rsidRPr="00FD0710">
        <w:rPr>
          <w:rFonts w:ascii="Times New Roman" w:hAnsi="Times New Roman" w:cs="Times New Roman"/>
        </w:rPr>
        <w:t xml:space="preserve">); </w:t>
      </w:r>
      <w:proofErr w:type="spellStart"/>
      <w:r w:rsidRPr="00FD0710">
        <w:rPr>
          <w:rFonts w:ascii="Times New Roman" w:hAnsi="Times New Roman" w:cs="Times New Roman"/>
        </w:rPr>
        <w:t>Kétèké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macaco, aqui ressignificado como pseudônimo que explicita a disputa de sentidos em torno dessa imagem)</w:t>
      </w:r>
      <w:r>
        <w:rPr>
          <w:rFonts w:ascii="Times New Roman" w:hAnsi="Times New Roman" w:cs="Times New Roman"/>
        </w:rPr>
        <w:t xml:space="preserve">; </w:t>
      </w:r>
      <w:proofErr w:type="spellStart"/>
      <w:r w:rsidRPr="000863F8">
        <w:rPr>
          <w:rFonts w:ascii="Times New Roman" w:hAnsi="Times New Roman" w:cs="Times New Roman"/>
        </w:rPr>
        <w:t>Máálú</w:t>
      </w:r>
      <w:proofErr w:type="spellEnd"/>
      <w:r w:rsidRPr="000863F8">
        <w:rPr>
          <w:rFonts w:ascii="Times New Roman" w:hAnsi="Times New Roman" w:cs="Times New Roman"/>
        </w:rPr>
        <w:t xml:space="preserve"> </w:t>
      </w:r>
      <w:r w:rsidRPr="00FD0710">
        <w:rPr>
          <w:rFonts w:ascii="Times New Roman" w:hAnsi="Times New Roman" w:cs="Times New Roman"/>
        </w:rPr>
        <w:t>(</w:t>
      </w:r>
      <w:r w:rsidRPr="000863F8">
        <w:rPr>
          <w:rFonts w:ascii="Times New Roman" w:hAnsi="Times New Roman" w:cs="Times New Roman"/>
        </w:rPr>
        <w:t>boi, força e resistência).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E109C" w14:textId="0E7A9F91" w:rsidR="0038238F" w:rsidRDefault="00A62F71">
    <w:pPr>
      <w:jc w:val="right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D2E10A5" wp14:editId="3AFE7AC0">
          <wp:simplePos x="0" y="0"/>
          <wp:positionH relativeFrom="column">
            <wp:posOffset>5572125</wp:posOffset>
          </wp:positionH>
          <wp:positionV relativeFrom="paragraph">
            <wp:posOffset>-275590</wp:posOffset>
          </wp:positionV>
          <wp:extent cx="664845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45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D2E10A3" wp14:editId="2D49A82E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D2E109D" w14:textId="77777777" w:rsidR="0038238F" w:rsidRDefault="0038238F">
    <w:pPr>
      <w:jc w:val="right"/>
    </w:pPr>
  </w:p>
  <w:p w14:paraId="1D2E109E" w14:textId="77777777" w:rsidR="0038238F" w:rsidRDefault="0038238F">
    <w:pPr>
      <w:jc w:val="right"/>
    </w:pPr>
  </w:p>
  <w:p w14:paraId="1D2E109F" w14:textId="77777777" w:rsidR="0038238F" w:rsidRDefault="00A62F71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D2E10A7" wp14:editId="1D2E10A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8F"/>
    <w:rsid w:val="002373DE"/>
    <w:rsid w:val="003254CD"/>
    <w:rsid w:val="00326935"/>
    <w:rsid w:val="0038238F"/>
    <w:rsid w:val="00584464"/>
    <w:rsid w:val="00613C97"/>
    <w:rsid w:val="00952F52"/>
    <w:rsid w:val="00A62F71"/>
    <w:rsid w:val="00B65FB0"/>
    <w:rsid w:val="00B76BBD"/>
    <w:rsid w:val="00C7708C"/>
    <w:rsid w:val="00DB4D6C"/>
    <w:rsid w:val="00DF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E106D"/>
  <w15:docId w15:val="{1B893110-B5AD-4E20-9016-53F5C723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B4D6C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B4D6C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Refdenotaderodap">
    <w:name w:val="footnote reference"/>
    <w:basedOn w:val="Fontepargpadro"/>
    <w:uiPriority w:val="99"/>
    <w:semiHidden/>
    <w:unhideWhenUsed/>
    <w:rsid w:val="00DB4D6C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844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446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A62F7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2F71"/>
  </w:style>
  <w:style w:type="paragraph" w:styleId="Rodap">
    <w:name w:val="footer"/>
    <w:basedOn w:val="Normal"/>
    <w:link w:val="RodapChar"/>
    <w:uiPriority w:val="99"/>
    <w:unhideWhenUsed/>
    <w:rsid w:val="00A62F7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2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thsouto@gmail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1133</Words>
  <Characters>6690</Characters>
  <Application>Microsoft Office Word</Application>
  <DocSecurity>0</DocSecurity>
  <Lines>102</Lines>
  <Paragraphs>22</Paragraphs>
  <ScaleCrop>false</ScaleCrop>
  <Company/>
  <LinksUpToDate>false</LinksUpToDate>
  <CharactersWithSpaces>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Natália Souto</cp:lastModifiedBy>
  <cp:revision>12</cp:revision>
  <dcterms:created xsi:type="dcterms:W3CDTF">2026-07-28T11:49:00Z</dcterms:created>
  <dcterms:modified xsi:type="dcterms:W3CDTF">2026-07-29T15:08:00Z</dcterms:modified>
</cp:coreProperties>
</file>