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3A59" w14:textId="05BF7D80" w:rsidR="00931632" w:rsidRDefault="00D0132D">
      <w:pPr>
        <w:keepLines/>
        <w:widowControl w:val="0"/>
        <w:spacing w:line="240" w:lineRule="auto"/>
        <w:jc w:val="center"/>
        <w:rPr>
          <w:sz w:val="24"/>
          <w:szCs w:val="24"/>
        </w:rPr>
      </w:pPr>
      <w:r>
        <w:rPr>
          <w:b/>
          <w:bCs/>
          <w:sz w:val="24"/>
          <w:szCs w:val="24"/>
          <w:highlight w:val="white"/>
        </w:rPr>
        <w:t>ETNOCENOLOGIA, EDUCAÇÃO E O SÉCULO XXI: NOVOS LÉXICOS, LOCAIS DE FALA E SUAS RELAÇÕES DECOLONIAIS</w:t>
      </w:r>
    </w:p>
    <w:p w14:paraId="687B24DF" w14:textId="77777777" w:rsidR="00931632" w:rsidRDefault="00931632">
      <w:pPr>
        <w:keepLines/>
        <w:widowControl w:val="0"/>
        <w:spacing w:line="240" w:lineRule="auto"/>
        <w:rPr>
          <w:b/>
          <w:bCs/>
          <w:sz w:val="24"/>
          <w:szCs w:val="24"/>
        </w:rPr>
      </w:pPr>
    </w:p>
    <w:p w14:paraId="57427639" w14:textId="77777777" w:rsidR="00931632" w:rsidRDefault="00931632">
      <w:pPr>
        <w:keepLines/>
        <w:widowControl w:val="0"/>
        <w:spacing w:line="240" w:lineRule="auto"/>
        <w:rPr>
          <w:b/>
          <w:bCs/>
          <w:sz w:val="24"/>
          <w:szCs w:val="24"/>
        </w:rPr>
      </w:pPr>
    </w:p>
    <w:p w14:paraId="606C1757" w14:textId="7048DC7B" w:rsidR="00931632" w:rsidRDefault="00000000" w:rsidP="00D0132D">
      <w:pPr>
        <w:keepLines/>
        <w:widowControl w:val="0"/>
        <w:spacing w:line="240" w:lineRule="auto"/>
        <w:jc w:val="center"/>
        <w:rPr>
          <w:sz w:val="24"/>
          <w:szCs w:val="24"/>
        </w:rPr>
      </w:pPr>
      <w:r>
        <w:rPr>
          <w:b/>
          <w:bCs/>
          <w:sz w:val="24"/>
          <w:szCs w:val="24"/>
        </w:rPr>
        <w:t xml:space="preserve"> </w:t>
      </w:r>
      <w:r w:rsidR="00D0132D">
        <w:rPr>
          <w:b/>
          <w:bCs/>
          <w:sz w:val="24"/>
          <w:szCs w:val="24"/>
        </w:rPr>
        <w:t>Descolonizando a Sociologia Escolar: O Binômio Segurança-Integração e a Experiência Cênica no PIBID</w:t>
      </w:r>
    </w:p>
    <w:p w14:paraId="2DC85752" w14:textId="77777777" w:rsidR="00931632" w:rsidRDefault="00931632">
      <w:pPr>
        <w:keepLines/>
        <w:widowControl w:val="0"/>
        <w:spacing w:line="240" w:lineRule="auto"/>
        <w:jc w:val="right"/>
        <w:rPr>
          <w:sz w:val="24"/>
          <w:szCs w:val="24"/>
        </w:rPr>
      </w:pPr>
    </w:p>
    <w:p w14:paraId="61C95638" w14:textId="6B9472A1" w:rsidR="00931632" w:rsidRDefault="00D0132D" w:rsidP="00D0132D">
      <w:pPr>
        <w:spacing w:before="240" w:after="240" w:line="360" w:lineRule="auto"/>
        <w:jc w:val="right"/>
        <w:rPr>
          <w:sz w:val="24"/>
          <w:szCs w:val="24"/>
        </w:rPr>
      </w:pPr>
      <w:r>
        <w:rPr>
          <w:sz w:val="24"/>
          <w:szCs w:val="24"/>
        </w:rPr>
        <w:t>Luiz Gabriel Dias Martins, Universidade de Brasília, gabriel.luiz@aluno.unb.br</w:t>
      </w:r>
    </w:p>
    <w:p w14:paraId="03FD8B3F" w14:textId="77777777" w:rsidR="00931632" w:rsidRDefault="00931632">
      <w:pPr>
        <w:keepLines/>
        <w:widowControl w:val="0"/>
        <w:spacing w:line="240" w:lineRule="auto"/>
        <w:rPr>
          <w:sz w:val="24"/>
          <w:szCs w:val="24"/>
        </w:rPr>
      </w:pPr>
    </w:p>
    <w:p w14:paraId="30D3AEC1" w14:textId="77777777" w:rsidR="00931632" w:rsidRDefault="00931632">
      <w:pPr>
        <w:keepLines/>
        <w:widowControl w:val="0"/>
        <w:spacing w:line="240" w:lineRule="auto"/>
        <w:rPr>
          <w:sz w:val="24"/>
          <w:szCs w:val="24"/>
        </w:rPr>
      </w:pPr>
    </w:p>
    <w:p w14:paraId="43E3E4CD" w14:textId="77777777" w:rsidR="00931632" w:rsidRDefault="00931632">
      <w:pPr>
        <w:keepLines/>
        <w:widowControl w:val="0"/>
        <w:spacing w:line="360" w:lineRule="auto"/>
        <w:rPr>
          <w:b/>
          <w:bCs/>
          <w:sz w:val="24"/>
          <w:szCs w:val="24"/>
        </w:rPr>
      </w:pPr>
    </w:p>
    <w:p w14:paraId="18CD5947" w14:textId="77777777" w:rsidR="00931632" w:rsidRDefault="00000000">
      <w:pPr>
        <w:keepLines/>
        <w:widowControl w:val="0"/>
        <w:spacing w:line="360" w:lineRule="auto"/>
        <w:rPr>
          <w:b/>
          <w:bCs/>
          <w:sz w:val="24"/>
          <w:szCs w:val="24"/>
        </w:rPr>
      </w:pPr>
      <w:r>
        <w:rPr>
          <w:b/>
          <w:bCs/>
          <w:sz w:val="24"/>
          <w:szCs w:val="24"/>
        </w:rPr>
        <w:t>RESUMO</w:t>
      </w:r>
    </w:p>
    <w:p w14:paraId="18E6B33D" w14:textId="77777777" w:rsidR="00931632" w:rsidRDefault="00931632">
      <w:pPr>
        <w:keepLines/>
        <w:widowControl w:val="0"/>
        <w:spacing w:line="360" w:lineRule="auto"/>
        <w:rPr>
          <w:b/>
          <w:bCs/>
          <w:sz w:val="24"/>
          <w:szCs w:val="24"/>
        </w:rPr>
      </w:pPr>
    </w:p>
    <w:p w14:paraId="6E8B739B" w14:textId="6405B22F" w:rsidR="00D0132D" w:rsidRDefault="00D30230" w:rsidP="00D0132D">
      <w:pPr>
        <w:spacing w:before="240" w:after="240" w:line="360" w:lineRule="auto"/>
        <w:ind w:firstLine="720"/>
        <w:jc w:val="both"/>
        <w:rPr>
          <w:sz w:val="24"/>
          <w:szCs w:val="24"/>
        </w:rPr>
      </w:pPr>
      <w:r w:rsidRPr="00D30230">
        <w:rPr>
          <w:sz w:val="24"/>
          <w:szCs w:val="24"/>
        </w:rPr>
        <w:t>A descolonização exige o reconhecimento prévio da historiografia colonial.</w:t>
      </w:r>
      <w:r w:rsidR="00D0132D">
        <w:rPr>
          <w:sz w:val="24"/>
          <w:szCs w:val="24"/>
        </w:rPr>
        <w:t xml:space="preserve"> Os estudos sociais latino-americanos constituem um importante campo de investigação, caracterizando-se e tornando-se distintos de outras escolas de pensamento por serem inatamente interdisciplinares, não limitando suas barreiras de abordagens.</w:t>
      </w:r>
      <w:r w:rsidR="001C0A38">
        <w:rPr>
          <w:sz w:val="24"/>
          <w:szCs w:val="24"/>
        </w:rPr>
        <w:t xml:space="preserve"> A mesma</w:t>
      </w:r>
      <w:r w:rsidR="00D0132D">
        <w:rPr>
          <w:sz w:val="24"/>
          <w:szCs w:val="24"/>
        </w:rPr>
        <w:t>, não se propõem como um estudo universal, mas sim regionalizado, a fim de entender as realidades sociais próprias da América, não assumindo automaticamente como válida sua reaplicação de conceitos em outras realidades históricas, culturais e sociais. Mediante as perspectivas atuais da Pedagogia Histórico-Crítica (Saviani, 2011), este campo epistêmico ganha potência para ser cada vez mais aproveitado pelo ensino de sociologia, área que vem passando por um profundo, e necessário, processo de autonomização na educação básica brasileira (Oliveira, 2023). O presente relato de experiência nasce desse cruzamento epistemológico onde uma intervenção pedagógica foi realizada por dentro do PIBID Sociologia, alinhando os Estudos latino americanos com as práticas propostas pela pedagogia histórico crítica.</w:t>
      </w:r>
    </w:p>
    <w:p w14:paraId="76DEF093" w14:textId="4D99280D" w:rsidR="00D0132D" w:rsidRDefault="00D30230" w:rsidP="00D0132D">
      <w:pPr>
        <w:spacing w:before="240" w:after="240" w:line="360" w:lineRule="auto"/>
        <w:ind w:firstLine="720"/>
        <w:jc w:val="both"/>
        <w:rPr>
          <w:sz w:val="24"/>
          <w:szCs w:val="24"/>
        </w:rPr>
      </w:pPr>
      <w:r w:rsidRPr="00D30230">
        <w:rPr>
          <w:sz w:val="24"/>
          <w:szCs w:val="24"/>
        </w:rPr>
        <w:t>Durante a graduação, na disciplina</w:t>
      </w:r>
      <w:r w:rsidR="00D0132D">
        <w:rPr>
          <w:sz w:val="24"/>
          <w:szCs w:val="24"/>
        </w:rPr>
        <w:t xml:space="preserve"> "Política e Estado nas Américas", ministrada pelo professor Jacques de Novion. </w:t>
      </w:r>
      <w:r w:rsidR="00DB61F3">
        <w:rPr>
          <w:sz w:val="24"/>
          <w:szCs w:val="24"/>
        </w:rPr>
        <w:t>A</w:t>
      </w:r>
      <w:r w:rsidR="00D0132D">
        <w:rPr>
          <w:sz w:val="24"/>
          <w:szCs w:val="24"/>
        </w:rPr>
        <w:t xml:space="preserve">profundei </w:t>
      </w:r>
      <w:r w:rsidR="00DB61F3">
        <w:rPr>
          <w:sz w:val="24"/>
          <w:szCs w:val="24"/>
        </w:rPr>
        <w:t>meu</w:t>
      </w:r>
      <w:r w:rsidR="00D0132D">
        <w:rPr>
          <w:sz w:val="24"/>
          <w:szCs w:val="24"/>
        </w:rPr>
        <w:t xml:space="preserve"> contato com teorias e autores que repensam a colonialidade e as intervenções políticas no território latino-americano. Ao longo da disciplina, construímos um entendimento crítico de como a política externa dos Estados Unidos se manifesta em relação às recém-independentes nações latino-americanas e caribenhas. Compreendemos como </w:t>
      </w:r>
      <w:r w:rsidR="00D0132D" w:rsidRPr="00BF471F">
        <w:rPr>
          <w:sz w:val="24"/>
          <w:szCs w:val="24"/>
        </w:rPr>
        <w:t>o</w:t>
      </w:r>
      <w:r w:rsidR="00D0132D">
        <w:rPr>
          <w:sz w:val="24"/>
          <w:szCs w:val="24"/>
          <w:highlight w:val="yellow"/>
        </w:rPr>
        <w:t xml:space="preserve"> </w:t>
      </w:r>
      <w:r w:rsidR="00D0132D" w:rsidRPr="00BF471F">
        <w:rPr>
          <w:sz w:val="24"/>
          <w:szCs w:val="24"/>
        </w:rPr>
        <w:lastRenderedPageBreak/>
        <w:t>Binômio</w:t>
      </w:r>
      <w:r w:rsidR="00D0132D">
        <w:rPr>
          <w:sz w:val="24"/>
          <w:szCs w:val="24"/>
        </w:rPr>
        <w:t xml:space="preserve"> New liberalismo/ Nova agenda de segurança</w:t>
      </w:r>
      <w:r w:rsidR="00D0132D">
        <w:rPr>
          <w:sz w:val="24"/>
          <w:szCs w:val="24"/>
          <w:vertAlign w:val="superscript"/>
        </w:rPr>
        <w:footnoteReference w:id="1"/>
      </w:r>
      <w:r w:rsidR="00D0132D">
        <w:rPr>
          <w:sz w:val="24"/>
          <w:szCs w:val="24"/>
        </w:rPr>
        <w:t xml:space="preserve">. Foi </w:t>
      </w:r>
      <w:r w:rsidR="00D0132D" w:rsidRPr="00BF471F">
        <w:rPr>
          <w:sz w:val="24"/>
          <w:szCs w:val="24"/>
        </w:rPr>
        <w:t>sistematizado</w:t>
      </w:r>
      <w:r w:rsidR="00D0132D">
        <w:rPr>
          <w:sz w:val="24"/>
          <w:szCs w:val="24"/>
        </w:rPr>
        <w:t xml:space="preserve"> e implementado para orientar tais intervenções, pautando-se em uma política de integração atrelada a uma política de segurança (Novion, 2014), o que gerou cinco diferentes momentos históricos de controle sobre o nosso continente visto a partir de um olhar anticolonial.</w:t>
      </w:r>
    </w:p>
    <w:p w14:paraId="61C02D90" w14:textId="59DB835D" w:rsidR="00D0132D" w:rsidRDefault="00D0132D" w:rsidP="00D0132D">
      <w:pPr>
        <w:spacing w:before="240" w:after="240" w:line="360" w:lineRule="auto"/>
        <w:jc w:val="both"/>
        <w:rPr>
          <w:sz w:val="24"/>
          <w:szCs w:val="24"/>
        </w:rPr>
      </w:pPr>
      <w:r>
        <w:rPr>
          <w:sz w:val="24"/>
          <w:szCs w:val="24"/>
        </w:rPr>
        <w:t xml:space="preserve">Simultaneamente, </w:t>
      </w:r>
      <w:r w:rsidR="001C0A38">
        <w:rPr>
          <w:sz w:val="24"/>
          <w:szCs w:val="24"/>
        </w:rPr>
        <w:t xml:space="preserve">ingressei </w:t>
      </w:r>
      <w:r>
        <w:rPr>
          <w:sz w:val="24"/>
          <w:szCs w:val="24"/>
        </w:rPr>
        <w:t xml:space="preserve">no programa PIBID Sociologia, cujo subprojeto tem como foco "O ensino de sociologia atrelado às artes". O objetivo do programa é trabalhar a disciplina através de novas práticas pedagógicas e didáticas que enriqueçam o currículo </w:t>
      </w:r>
      <w:r w:rsidR="00DC65CC">
        <w:rPr>
          <w:sz w:val="24"/>
          <w:szCs w:val="24"/>
        </w:rPr>
        <w:t xml:space="preserve">e </w:t>
      </w:r>
      <w:r>
        <w:rPr>
          <w:sz w:val="24"/>
          <w:szCs w:val="24"/>
        </w:rPr>
        <w:t xml:space="preserve">o processo de ensino-aprendizagem, mobilizando Artes e performance. </w:t>
      </w:r>
      <w:r w:rsidR="00DC65CC">
        <w:rPr>
          <w:sz w:val="24"/>
          <w:szCs w:val="24"/>
        </w:rPr>
        <w:t>A</w:t>
      </w:r>
      <w:r>
        <w:rPr>
          <w:sz w:val="24"/>
          <w:szCs w:val="24"/>
        </w:rPr>
        <w:t xml:space="preserve"> partir de observações empíricas da realidade escolar, algo que causou profundo incômodo foi a superficialidade com que as temáticas do imperialismo e da anti-colonialidade são </w:t>
      </w:r>
      <w:r w:rsidR="00DC65CC">
        <w:rPr>
          <w:sz w:val="24"/>
          <w:szCs w:val="24"/>
        </w:rPr>
        <w:t>abordadas</w:t>
      </w:r>
      <w:r>
        <w:rPr>
          <w:sz w:val="24"/>
          <w:szCs w:val="24"/>
        </w:rPr>
        <w:t xml:space="preserve">, tanto nas aulas expositivas quanto nos próprios livros didáticos. Ao dialogar sobre </w:t>
      </w:r>
      <w:r w:rsidR="00DC65CC">
        <w:rPr>
          <w:sz w:val="24"/>
          <w:szCs w:val="24"/>
        </w:rPr>
        <w:t>as lacunas</w:t>
      </w:r>
      <w:r>
        <w:rPr>
          <w:sz w:val="24"/>
          <w:szCs w:val="24"/>
        </w:rPr>
        <w:t xml:space="preserve"> com a supervisora da escola onde atuo, fui incentivado a desenvolver um projeto de intervenção que integrasse o ensino da colonialidade contemporânea, alinhando-o de forma indissociável à proposta performática e cênica do PIBID. O que se mostra como uma replicação teórica nas práticas escolares da pedagogia histórico crítica ao passo que este conteúdo deixa de estar confinado aos muros da universidade para ser apropriado pelos próprios estudantes do ensino básico (Saviani, 2011).</w:t>
      </w:r>
    </w:p>
    <w:p w14:paraId="24A0D863" w14:textId="7D4348DD" w:rsidR="00D0132D" w:rsidRDefault="00D0132D" w:rsidP="00D0132D">
      <w:pPr>
        <w:spacing w:before="240" w:after="240" w:line="360" w:lineRule="auto"/>
        <w:jc w:val="both"/>
        <w:rPr>
          <w:sz w:val="24"/>
          <w:szCs w:val="24"/>
        </w:rPr>
      </w:pPr>
      <w:r>
        <w:rPr>
          <w:sz w:val="24"/>
          <w:szCs w:val="24"/>
        </w:rPr>
        <w:t xml:space="preserve">Com </w:t>
      </w:r>
      <w:r w:rsidR="001C0A38">
        <w:rPr>
          <w:sz w:val="24"/>
          <w:szCs w:val="24"/>
        </w:rPr>
        <w:t>o</w:t>
      </w:r>
      <w:r>
        <w:rPr>
          <w:sz w:val="24"/>
          <w:szCs w:val="24"/>
        </w:rPr>
        <w:t xml:space="preserve"> incentivo, desenvolvi uma aula que perpassa o início das colonizações da América, dando enfoque inicial aos moldes coloniais aplicados via </w:t>
      </w:r>
      <w:r>
        <w:rPr>
          <w:i/>
          <w:iCs/>
          <w:sz w:val="24"/>
          <w:szCs w:val="24"/>
        </w:rPr>
        <w:t>plantations</w:t>
      </w:r>
      <w:r>
        <w:rPr>
          <w:sz w:val="24"/>
          <w:szCs w:val="24"/>
        </w:rPr>
        <w:t>, avançando para o entendimento de como as colônias do norte dos Estados Unidos se tornaram a primeira região a se industrializar para exportar manufaturas ao restante do continente. A narrativa didática abordou a construção dos EUA como uma nação imaginada através de suas doutrinas e mitos fundadores, como o Destino Manifesto, a Doutrina Monroe e a própria configuração de sua independência em relação à Inglaterra. Com o entendimento consolidado pelas turmas sobre a constituição dessas doutrinas, avançamos para a apreciação de suas consequências práticas</w:t>
      </w:r>
      <w:r w:rsidRPr="00BF471F">
        <w:rPr>
          <w:sz w:val="24"/>
          <w:szCs w:val="24"/>
        </w:rPr>
        <w:t>. Analisamos como o Binômio (Segurança-Integração)</w:t>
      </w:r>
      <w:r>
        <w:rPr>
          <w:sz w:val="24"/>
          <w:szCs w:val="24"/>
        </w:rPr>
        <w:t xml:space="preserve"> se manifestou </w:t>
      </w:r>
      <w:r>
        <w:rPr>
          <w:sz w:val="24"/>
          <w:szCs w:val="24"/>
        </w:rPr>
        <w:lastRenderedPageBreak/>
        <w:t>temporalmente: Pan-americanismo / Big Stick; Interamericanismo / Boa Vizinhança; Interamericanismo / Contrainsurgência; Aliança para o Progresso/ Anticomunismo; Área de Livre Comércio das Américas / Combate ao Narcoterrorismo.</w:t>
      </w:r>
    </w:p>
    <w:p w14:paraId="499A1718" w14:textId="26DD8C97" w:rsidR="00D0132D" w:rsidRDefault="00D0132D" w:rsidP="00D0132D">
      <w:pPr>
        <w:spacing w:before="240" w:after="240" w:line="360" w:lineRule="auto"/>
        <w:jc w:val="both"/>
        <w:rPr>
          <w:sz w:val="24"/>
          <w:szCs w:val="24"/>
        </w:rPr>
      </w:pPr>
      <w:r>
        <w:rPr>
          <w:sz w:val="24"/>
          <w:szCs w:val="24"/>
        </w:rPr>
        <w:t xml:space="preserve">Para integrar teoria </w:t>
      </w:r>
      <w:r w:rsidR="001C0A38">
        <w:rPr>
          <w:sz w:val="24"/>
          <w:szCs w:val="24"/>
        </w:rPr>
        <w:t>às práticas didáticas</w:t>
      </w:r>
      <w:r>
        <w:rPr>
          <w:sz w:val="24"/>
          <w:szCs w:val="24"/>
        </w:rPr>
        <w:t xml:space="preserve"> cênicas, adotei a interpretação teatral como eixo metodológico. </w:t>
      </w:r>
      <w:r w:rsidR="00C67A35">
        <w:rPr>
          <w:sz w:val="24"/>
          <w:szCs w:val="24"/>
        </w:rPr>
        <w:t>C</w:t>
      </w:r>
      <w:r>
        <w:rPr>
          <w:sz w:val="24"/>
          <w:szCs w:val="24"/>
        </w:rPr>
        <w:t>oloquei-me em cena personificadamente como Estados Unidos, enquanto os estudantes receberam, papeis como países latino-americanos. Para encenar, as políticas e intervenções aplicadas pelos EUA sobre as Nações dependentes. Ao desenrolar da dinâmica, diversos recursos foram utilizados para materializar o conteúdo, distanciando-se de uma aula expositiva e tornando-se um acontecimento vivo: mapas, charges, reportagens, encenações e uma música foram utilizados. A aula foi aplicada a três turmas do terceiro ano do Ensino Médio, no semestre de 2026.1, momento em que o currículo de sociologia converge com o estudo da ciência política. Durante o processo, os alunos confirmaram um expressivo desconhecimento histórico sobre as temáticas, relatando apenas um saber difuso sobre interferências no período dos governos empresariais-militares (décadas de 1960 e 1970).</w:t>
      </w:r>
    </w:p>
    <w:p w14:paraId="3774D859" w14:textId="10DD6778" w:rsidR="00D0132D" w:rsidRDefault="00D0132D" w:rsidP="00D0132D">
      <w:pPr>
        <w:spacing w:before="240" w:after="240" w:line="360" w:lineRule="auto"/>
        <w:jc w:val="both"/>
        <w:rPr>
          <w:sz w:val="24"/>
          <w:szCs w:val="24"/>
        </w:rPr>
      </w:pPr>
      <w:r>
        <w:rPr>
          <w:sz w:val="24"/>
          <w:szCs w:val="24"/>
        </w:rPr>
        <w:t xml:space="preserve">A transposição pedagógica desse conteúdo exigiu a incorporação de novos léxicos decoloniais à práxis educativa. </w:t>
      </w:r>
      <w:r>
        <w:rPr>
          <w:color w:val="1F1F1F"/>
          <w:sz w:val="24"/>
          <w:szCs w:val="24"/>
        </w:rPr>
        <w:t>Através do Binômio foi possível repensar como o poder e a hegemonia se manifestam</w:t>
      </w:r>
      <w:r>
        <w:rPr>
          <w:sz w:val="24"/>
          <w:szCs w:val="24"/>
        </w:rPr>
        <w:t xml:space="preserve"> (Quijano, 2005), para demonstrar que o eurocentrismo e a hegemonia ditam não apenas a economia, mas o imaginário e a subjetividade das periferias globais. Para desvelar a face oculta do imperialismo de forma contundente para os jovens, recorreu-se ao "Discurso sobre o colonialismo" de Aimé Césaire (2020). Que alerta com preocupação sobre a dominação americana, definindo a dominação estadunidense como impossível de se passar ileso disfarçada de promessa de "progresso" e "investimentos”, os alunos puderam nomear e reconhecer a violência estrutural por trás dos discursos de integração.</w:t>
      </w:r>
    </w:p>
    <w:p w14:paraId="189CA600" w14:textId="33564B7D" w:rsidR="00D0132D" w:rsidRDefault="00D0132D" w:rsidP="00D0132D">
      <w:pPr>
        <w:spacing w:before="240" w:after="240" w:line="360" w:lineRule="auto"/>
        <w:jc w:val="both"/>
        <w:rPr>
          <w:sz w:val="24"/>
          <w:szCs w:val="24"/>
        </w:rPr>
      </w:pPr>
      <w:r>
        <w:rPr>
          <w:sz w:val="24"/>
          <w:szCs w:val="24"/>
        </w:rPr>
        <w:t>A partir desta experiência, entendo que o atrelamento do ensino de sociologia às artes cênicas constitui uma estratégia pedagógica de resistência e transgressão. A sala de aula transform</w:t>
      </w:r>
      <w:r w:rsidR="001C0A38">
        <w:rPr>
          <w:sz w:val="24"/>
          <w:szCs w:val="24"/>
        </w:rPr>
        <w:t>a-se</w:t>
      </w:r>
      <w:r>
        <w:rPr>
          <w:sz w:val="24"/>
          <w:szCs w:val="24"/>
        </w:rPr>
        <w:t xml:space="preserve"> em um ambiente de trocas horizontais </w:t>
      </w:r>
      <w:r w:rsidR="001C0A38">
        <w:rPr>
          <w:sz w:val="24"/>
          <w:szCs w:val="24"/>
        </w:rPr>
        <w:t>com</w:t>
      </w:r>
      <w:r>
        <w:rPr>
          <w:sz w:val="24"/>
          <w:szCs w:val="24"/>
        </w:rPr>
        <w:t xml:space="preserve"> potente local de fala, a escola permitiu corporificar a opressão geopolítica. Ao encenarem a subalternidade, os jovens não apenas escutaram falar sobre o imperialismo, mas experienciaram as </w:t>
      </w:r>
      <w:r>
        <w:rPr>
          <w:sz w:val="24"/>
          <w:szCs w:val="24"/>
        </w:rPr>
        <w:lastRenderedPageBreak/>
        <w:t>assimetrias d</w:t>
      </w:r>
      <w:r w:rsidR="001C0A38">
        <w:rPr>
          <w:sz w:val="24"/>
          <w:szCs w:val="24"/>
        </w:rPr>
        <w:t>a geopolítica</w:t>
      </w:r>
      <w:r>
        <w:rPr>
          <w:sz w:val="24"/>
          <w:szCs w:val="24"/>
        </w:rPr>
        <w:t>. Tal prática consolida a relevância de uma Pedagogia comprometida com as possibilidades de emancipação social a partir de experiências do Sul Global, comprovando que o ensino de sociologia, quando autônomo e inventivo, é uma ferramenta eficaz para instrumentalizar a juventude à leitura crítica do mundo e à defesa intransigente de sua própria autonomia e soberania.</w:t>
      </w:r>
    </w:p>
    <w:p w14:paraId="4C991568" w14:textId="77777777" w:rsidR="00D0132D" w:rsidRDefault="00D0132D" w:rsidP="00D0132D">
      <w:pPr>
        <w:spacing w:before="240" w:after="240" w:line="360" w:lineRule="auto"/>
        <w:jc w:val="both"/>
        <w:rPr>
          <w:b/>
          <w:bCs/>
          <w:sz w:val="24"/>
          <w:szCs w:val="24"/>
        </w:rPr>
      </w:pPr>
      <w:r>
        <w:rPr>
          <w:b/>
          <w:bCs/>
          <w:sz w:val="24"/>
          <w:szCs w:val="24"/>
        </w:rPr>
        <w:t xml:space="preserve">Palavras-Chave </w:t>
      </w:r>
    </w:p>
    <w:p w14:paraId="27D71498" w14:textId="77777777" w:rsidR="00D0132D" w:rsidRDefault="00D0132D" w:rsidP="00D0132D">
      <w:pPr>
        <w:spacing w:before="240" w:after="240" w:line="360" w:lineRule="auto"/>
        <w:jc w:val="both"/>
        <w:rPr>
          <w:sz w:val="24"/>
          <w:szCs w:val="24"/>
        </w:rPr>
      </w:pPr>
      <w:r>
        <w:rPr>
          <w:sz w:val="24"/>
          <w:szCs w:val="24"/>
        </w:rPr>
        <w:t>Ensino de Sociologia; Decolonialidade; PIBID; Artes performáticas; Imperialismo.</w:t>
      </w:r>
    </w:p>
    <w:p w14:paraId="013DCE95" w14:textId="77777777" w:rsidR="00D0132D" w:rsidRDefault="00D0132D" w:rsidP="00D0132D">
      <w:pPr>
        <w:spacing w:before="240" w:after="240" w:line="360" w:lineRule="auto"/>
        <w:jc w:val="both"/>
        <w:rPr>
          <w:b/>
          <w:bCs/>
          <w:sz w:val="24"/>
          <w:szCs w:val="24"/>
        </w:rPr>
      </w:pPr>
      <w:r>
        <w:rPr>
          <w:b/>
          <w:bCs/>
          <w:sz w:val="24"/>
          <w:szCs w:val="24"/>
        </w:rPr>
        <w:t>REFERÊNCIAS</w:t>
      </w:r>
    </w:p>
    <w:p w14:paraId="3B2AE8EB" w14:textId="77777777" w:rsidR="00D0132D" w:rsidRDefault="00D0132D" w:rsidP="00D0132D">
      <w:pPr>
        <w:spacing w:before="240" w:after="240" w:line="360" w:lineRule="auto"/>
        <w:jc w:val="both"/>
        <w:rPr>
          <w:sz w:val="24"/>
          <w:szCs w:val="24"/>
        </w:rPr>
      </w:pPr>
      <w:r>
        <w:rPr>
          <w:sz w:val="24"/>
          <w:szCs w:val="24"/>
        </w:rPr>
        <w:t>CÉSAIRE, Aimé. Discurso sobre o colonialismo. Tradução de Anivaldo Andrade. São Paulo: Veneta, 2020.</w:t>
      </w:r>
    </w:p>
    <w:p w14:paraId="78366173" w14:textId="77777777" w:rsidR="00D0132D" w:rsidRDefault="00D0132D" w:rsidP="00D0132D">
      <w:pPr>
        <w:spacing w:before="240" w:after="240" w:line="360" w:lineRule="auto"/>
        <w:jc w:val="both"/>
        <w:rPr>
          <w:sz w:val="24"/>
          <w:szCs w:val="24"/>
        </w:rPr>
      </w:pPr>
      <w:r>
        <w:rPr>
          <w:sz w:val="24"/>
          <w:szCs w:val="24"/>
        </w:rPr>
        <w:t>DE NOVION, Jacques. Integración Económica y Seguridad Continental: la lucha armada en América Latina y el Caribe en perspectiva histórica, comparada y macro-regional. Taller (Segunda Época), Buenos Aires, v. 3, n. 3, 2014.</w:t>
      </w:r>
    </w:p>
    <w:p w14:paraId="59457B87" w14:textId="77777777" w:rsidR="00D0132D" w:rsidRDefault="00D0132D" w:rsidP="00D0132D">
      <w:pPr>
        <w:spacing w:before="240" w:after="240" w:line="360" w:lineRule="auto"/>
        <w:jc w:val="both"/>
        <w:rPr>
          <w:sz w:val="24"/>
          <w:szCs w:val="24"/>
        </w:rPr>
      </w:pPr>
      <w:r>
        <w:rPr>
          <w:sz w:val="24"/>
          <w:szCs w:val="24"/>
        </w:rPr>
        <w:t>OLIVEIRA, Amurabi. O campo do ensino de sociologia no Brasil. 1. ed. [S. l.]: Café com Sociologia, 2023.</w:t>
      </w:r>
    </w:p>
    <w:p w14:paraId="59A0C288" w14:textId="77777777" w:rsidR="00D0132D" w:rsidRDefault="00D0132D" w:rsidP="00D0132D">
      <w:pPr>
        <w:spacing w:before="240" w:after="240" w:line="360" w:lineRule="auto"/>
        <w:jc w:val="both"/>
        <w:rPr>
          <w:sz w:val="24"/>
          <w:szCs w:val="24"/>
        </w:rPr>
      </w:pPr>
      <w:r>
        <w:rPr>
          <w:sz w:val="24"/>
          <w:szCs w:val="24"/>
        </w:rPr>
        <w:t>QUIJANO, Aníbal. Colonialidade do poder, eurocentrismo e América Latina. In: LANDER, Edgardo (Org.). A colonialidade do saber: eurocentrismo e ciências sociais. Perspectivas latino-americanas. Buenos Aires: CLACSO, 2005.</w:t>
      </w:r>
    </w:p>
    <w:p w14:paraId="4EF2226E" w14:textId="3EA21063" w:rsidR="00931632" w:rsidRPr="00DC65CC" w:rsidRDefault="00D0132D" w:rsidP="00DC65CC">
      <w:pPr>
        <w:spacing w:before="240" w:after="240" w:line="360" w:lineRule="auto"/>
        <w:jc w:val="both"/>
        <w:rPr>
          <w:sz w:val="24"/>
          <w:szCs w:val="24"/>
        </w:rPr>
      </w:pPr>
      <w:r>
        <w:rPr>
          <w:sz w:val="24"/>
          <w:szCs w:val="24"/>
        </w:rPr>
        <w:t>SAVIANI, Dermeval. Pedagogia Histórico-Crítica: primeiras aproximações. 11. ed. Campinas: Autores Associados, 2011.</w:t>
      </w:r>
    </w:p>
    <w:sectPr w:rsidR="00931632" w:rsidRPr="00DC65CC">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B1217" w14:textId="77777777" w:rsidR="00942D7D" w:rsidRDefault="00942D7D">
      <w:pPr>
        <w:spacing w:line="240" w:lineRule="auto"/>
      </w:pPr>
      <w:r>
        <w:separator/>
      </w:r>
    </w:p>
  </w:endnote>
  <w:endnote w:type="continuationSeparator" w:id="0">
    <w:p w14:paraId="2FA30996" w14:textId="77777777" w:rsidR="00942D7D" w:rsidRDefault="00942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A86765-4A92-4DAA-8138-7BF849491548}"/>
  </w:font>
  <w:font w:name="Cambria">
    <w:panose1 w:val="02040503050406030204"/>
    <w:charset w:val="00"/>
    <w:family w:val="roman"/>
    <w:pitch w:val="variable"/>
    <w:sig w:usb0="E00006FF" w:usb1="420024FF" w:usb2="02000000" w:usb3="00000000" w:csb0="0000019F" w:csb1="00000000"/>
    <w:embedRegular r:id="rId2" w:fontKey="{5FA0A961-168E-4864-93DE-0DB37850A1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DDB9" w14:textId="77777777" w:rsidR="00931632" w:rsidRDefault="00000000">
    <w:pPr>
      <w:jc w:val="center"/>
    </w:pPr>
    <w:r>
      <w:fldChar w:fldCharType="begin"/>
    </w:r>
    <w:r>
      <w:instrText>PAGE</w:instrText>
    </w:r>
    <w:r>
      <w:fldChar w:fldCharType="separate"/>
    </w:r>
    <w:r w:rsidR="00D0132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4103" w14:textId="77777777" w:rsidR="00931632" w:rsidRDefault="009316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4188" w14:textId="77777777" w:rsidR="00942D7D" w:rsidRDefault="00942D7D">
      <w:pPr>
        <w:spacing w:line="240" w:lineRule="auto"/>
      </w:pPr>
      <w:r>
        <w:separator/>
      </w:r>
    </w:p>
  </w:footnote>
  <w:footnote w:type="continuationSeparator" w:id="0">
    <w:p w14:paraId="01F4616B" w14:textId="77777777" w:rsidR="00942D7D" w:rsidRDefault="00942D7D">
      <w:pPr>
        <w:spacing w:line="240" w:lineRule="auto"/>
      </w:pPr>
      <w:r>
        <w:continuationSeparator/>
      </w:r>
    </w:p>
  </w:footnote>
  <w:footnote w:id="1">
    <w:p w14:paraId="3456C14A" w14:textId="06463B67" w:rsidR="00D0132D" w:rsidRDefault="00D0132D" w:rsidP="00D0132D">
      <w:pPr>
        <w:spacing w:line="240" w:lineRule="auto"/>
        <w:rPr>
          <w:sz w:val="20"/>
          <w:szCs w:val="20"/>
        </w:rPr>
      </w:pPr>
      <w:r>
        <w:rPr>
          <w:vertAlign w:val="superscript"/>
        </w:rPr>
        <w:footnoteRef/>
      </w:r>
      <w:r>
        <w:rPr>
          <w:sz w:val="20"/>
          <w:szCs w:val="20"/>
        </w:rPr>
        <w:t xml:space="preserve"> O binômio integração </w:t>
      </w:r>
      <w:r w:rsidR="00C67A35">
        <w:rPr>
          <w:sz w:val="20"/>
          <w:szCs w:val="20"/>
        </w:rPr>
        <w:t>/</w:t>
      </w:r>
      <w:r>
        <w:rPr>
          <w:sz w:val="20"/>
          <w:szCs w:val="20"/>
        </w:rPr>
        <w:t xml:space="preserve"> segurança refere-se à interdependência de forças utilizadas na coerção internacional; onde a política de segurança se torna o braço armado do binômio e a política de integração se torna o braço da dependência econômica</w:t>
      </w:r>
      <w:r w:rsidR="001C0A38">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386C" w14:textId="77777777" w:rsidR="00931632" w:rsidRDefault="00000000">
    <w:pPr>
      <w:jc w:val="right"/>
    </w:pPr>
    <w:r>
      <w:rPr>
        <w:noProof/>
      </w:rPr>
      <w:drawing>
        <wp:anchor distT="114300" distB="114300" distL="114300" distR="114300" simplePos="0" relativeHeight="251658240" behindDoc="1" locked="0" layoutInCell="1" hidden="0" allowOverlap="1" wp14:anchorId="2E47F0FA" wp14:editId="18F46AB5">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3AE6AF5" wp14:editId="054A249B">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40CE4B0B" w14:textId="77777777" w:rsidR="00931632" w:rsidRDefault="00931632">
    <w:pPr>
      <w:jc w:val="right"/>
    </w:pPr>
  </w:p>
  <w:p w14:paraId="4521CD99" w14:textId="77777777" w:rsidR="00931632" w:rsidRDefault="00931632">
    <w:pPr>
      <w:jc w:val="right"/>
    </w:pPr>
  </w:p>
  <w:p w14:paraId="3CD92FF0" w14:textId="77777777" w:rsidR="00931632" w:rsidRDefault="00000000">
    <w:r>
      <w:rPr>
        <w:noProof/>
      </w:rPr>
      <w:drawing>
        <wp:anchor distT="114300" distB="114300" distL="114300" distR="114300" simplePos="0" relativeHeight="251660288" behindDoc="1" locked="0" layoutInCell="1" hidden="0" allowOverlap="1" wp14:anchorId="086AFB7E" wp14:editId="0B3ED88F">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258F" w14:textId="77777777" w:rsidR="00931632" w:rsidRDefault="0093163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632"/>
    <w:rsid w:val="001A02C0"/>
    <w:rsid w:val="001C0A38"/>
    <w:rsid w:val="0040666F"/>
    <w:rsid w:val="00702495"/>
    <w:rsid w:val="00931632"/>
    <w:rsid w:val="00942D7D"/>
    <w:rsid w:val="00B0597E"/>
    <w:rsid w:val="00C50963"/>
    <w:rsid w:val="00C67A35"/>
    <w:rsid w:val="00D0132D"/>
    <w:rsid w:val="00D30230"/>
    <w:rsid w:val="00DB61F3"/>
    <w:rsid w:val="00DC65CC"/>
    <w:rsid w:val="00EC0B57"/>
    <w:rsid w:val="00F13B2C"/>
    <w:rsid w:val="00FC44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FB7E"/>
  <w15:docId w15:val="{CD31C2AB-11D8-4217-8007-127D69773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1087</Words>
  <Characters>6688</Characters>
  <Application>Microsoft Office Word</Application>
  <DocSecurity>0</DocSecurity>
  <Lines>113</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Luiz Gabriel Dias Martins</cp:lastModifiedBy>
  <cp:revision>7</cp:revision>
  <dcterms:created xsi:type="dcterms:W3CDTF">2026-07-29T15:04:00Z</dcterms:created>
  <dcterms:modified xsi:type="dcterms:W3CDTF">2026-07-29T16:27:00Z</dcterms:modified>
</cp:coreProperties>
</file>