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1F59" w14:textId="66A455BC" w:rsidR="00C76D29" w:rsidRPr="00C25E8B" w:rsidRDefault="000F4AA3" w:rsidP="000F4AA3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C25E8B">
        <w:rPr>
          <w:sz w:val="24"/>
          <w:szCs w:val="24"/>
        </w:rPr>
        <w:t>CONSERVATÓRIO 7: EDUCAÇÃO ANTIRRASCISTA NA EDUCAÇÃO BÁSICA: EDUCANDO PARA AS RELAÇÕES ÉTNICO-RACIAL</w:t>
      </w:r>
    </w:p>
    <w:p w14:paraId="79705A37" w14:textId="77777777" w:rsidR="00C76D29" w:rsidRPr="00C25E8B" w:rsidRDefault="00C76D29">
      <w:pPr>
        <w:keepLines/>
        <w:widowControl w:val="0"/>
        <w:spacing w:line="240" w:lineRule="auto"/>
        <w:rPr>
          <w:sz w:val="24"/>
          <w:szCs w:val="24"/>
        </w:rPr>
      </w:pPr>
    </w:p>
    <w:p w14:paraId="6641FBB8" w14:textId="77777777" w:rsidR="00C76D29" w:rsidRPr="00C25E8B" w:rsidRDefault="00C76D29">
      <w:pPr>
        <w:keepLines/>
        <w:widowControl w:val="0"/>
        <w:spacing w:line="240" w:lineRule="auto"/>
        <w:rPr>
          <w:sz w:val="24"/>
          <w:szCs w:val="24"/>
        </w:rPr>
      </w:pPr>
    </w:p>
    <w:p w14:paraId="0C62B8E9" w14:textId="0BA8E38B" w:rsidR="00C76D29" w:rsidRPr="002A6D8E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25E8B">
        <w:rPr>
          <w:sz w:val="24"/>
          <w:szCs w:val="24"/>
        </w:rPr>
        <w:t xml:space="preserve"> </w:t>
      </w:r>
      <w:r w:rsidR="000F4AA3" w:rsidRPr="002A6D8E">
        <w:rPr>
          <w:b/>
          <w:bCs/>
          <w:sz w:val="24"/>
          <w:szCs w:val="24"/>
        </w:rPr>
        <w:t>O JOGO DA MEMÓRIA COMO PROPOSTA DIDÁTICA</w:t>
      </w:r>
      <w:r w:rsidR="00900E18" w:rsidRPr="002A6D8E">
        <w:rPr>
          <w:b/>
          <w:bCs/>
          <w:sz w:val="24"/>
          <w:szCs w:val="24"/>
        </w:rPr>
        <w:t xml:space="preserve"> ANTIRRACISTA</w:t>
      </w:r>
    </w:p>
    <w:p w14:paraId="6E074DA2" w14:textId="77777777" w:rsidR="00C76D29" w:rsidRPr="00C25E8B" w:rsidRDefault="00C76D29">
      <w:pPr>
        <w:keepLines/>
        <w:widowControl w:val="0"/>
        <w:spacing w:line="240" w:lineRule="auto"/>
        <w:rPr>
          <w:sz w:val="24"/>
          <w:szCs w:val="24"/>
        </w:rPr>
      </w:pPr>
    </w:p>
    <w:p w14:paraId="293A2D19" w14:textId="77777777" w:rsidR="00C76D29" w:rsidRPr="00C25E8B" w:rsidRDefault="00C76D2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7E0EBA1" w14:textId="58BE3E40" w:rsidR="00C76D29" w:rsidRPr="00C25E8B" w:rsidRDefault="000F4AA3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C25E8B">
        <w:rPr>
          <w:sz w:val="24"/>
          <w:szCs w:val="24"/>
        </w:rPr>
        <w:t xml:space="preserve">Franciellen Rodrigues da Silva Costa, Universidade Federal de Santa Catarina, </w:t>
      </w:r>
      <w:hyperlink r:id="rId7" w:history="1">
        <w:r w:rsidR="00114B65" w:rsidRPr="00C25E8B">
          <w:rPr>
            <w:rStyle w:val="Hyperlink"/>
            <w:sz w:val="24"/>
            <w:szCs w:val="24"/>
          </w:rPr>
          <w:t>franciellencostaa@gmail.com</w:t>
        </w:r>
      </w:hyperlink>
    </w:p>
    <w:p w14:paraId="0AFAF48F" w14:textId="3039904A" w:rsidR="00114B65" w:rsidRPr="00C25E8B" w:rsidRDefault="00114B65" w:rsidP="00114B65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C25E8B">
        <w:rPr>
          <w:sz w:val="24"/>
          <w:szCs w:val="24"/>
        </w:rPr>
        <w:t xml:space="preserve">Verenna </w:t>
      </w:r>
      <w:r w:rsidR="0048348B" w:rsidRPr="00C25E8B">
        <w:rPr>
          <w:sz w:val="24"/>
          <w:szCs w:val="24"/>
        </w:rPr>
        <w:t>Barbosa Gomes</w:t>
      </w:r>
      <w:r w:rsidRPr="00C25E8B">
        <w:rPr>
          <w:sz w:val="24"/>
          <w:szCs w:val="24"/>
        </w:rPr>
        <w:t xml:space="preserve">, Universidade Federal do Norte de Tocantis, </w:t>
      </w:r>
      <w:hyperlink r:id="rId8" w:history="1">
        <w:r w:rsidR="0048348B" w:rsidRPr="00C25E8B">
          <w:rPr>
            <w:rStyle w:val="Hyperlink"/>
            <w:sz w:val="24"/>
            <w:szCs w:val="24"/>
          </w:rPr>
          <w:t>verenna.gomes@ufnt.edu.br</w:t>
        </w:r>
      </w:hyperlink>
      <w:r w:rsidR="0048348B" w:rsidRPr="00C25E8B">
        <w:rPr>
          <w:sz w:val="24"/>
          <w:szCs w:val="24"/>
        </w:rPr>
        <w:t xml:space="preserve"> </w:t>
      </w:r>
    </w:p>
    <w:p w14:paraId="169DD174" w14:textId="77777777" w:rsidR="00114B65" w:rsidRPr="00C25E8B" w:rsidRDefault="00114B65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709195F" w14:textId="77777777" w:rsidR="00C76D29" w:rsidRPr="00C25E8B" w:rsidRDefault="00C76D29">
      <w:pPr>
        <w:keepLines/>
        <w:widowControl w:val="0"/>
        <w:spacing w:line="240" w:lineRule="auto"/>
        <w:rPr>
          <w:sz w:val="24"/>
          <w:szCs w:val="24"/>
        </w:rPr>
      </w:pPr>
    </w:p>
    <w:p w14:paraId="631F4859" w14:textId="77777777" w:rsidR="00C76D29" w:rsidRPr="00C25E8B" w:rsidRDefault="00C76D29">
      <w:pPr>
        <w:keepLines/>
        <w:widowControl w:val="0"/>
        <w:spacing w:line="240" w:lineRule="auto"/>
        <w:rPr>
          <w:sz w:val="24"/>
          <w:szCs w:val="24"/>
        </w:rPr>
      </w:pPr>
    </w:p>
    <w:p w14:paraId="580C73EA" w14:textId="77777777" w:rsidR="005C61CD" w:rsidRPr="0024197D" w:rsidRDefault="00000000" w:rsidP="005C61CD">
      <w:pPr>
        <w:rPr>
          <w:b/>
          <w:bCs/>
          <w:sz w:val="24"/>
          <w:szCs w:val="24"/>
        </w:rPr>
      </w:pPr>
      <w:r w:rsidRPr="0024197D">
        <w:rPr>
          <w:b/>
          <w:bCs/>
          <w:sz w:val="24"/>
          <w:szCs w:val="24"/>
        </w:rPr>
        <w:t>RESUMO</w:t>
      </w:r>
    </w:p>
    <w:p w14:paraId="7A5AF128" w14:textId="77777777" w:rsidR="005C61CD" w:rsidRPr="00C25E8B" w:rsidRDefault="005C61CD" w:rsidP="005C61CD">
      <w:pPr>
        <w:rPr>
          <w:sz w:val="24"/>
          <w:szCs w:val="24"/>
        </w:rPr>
      </w:pPr>
    </w:p>
    <w:p w14:paraId="31C99BD6" w14:textId="79588B86" w:rsidR="007D7271" w:rsidRDefault="005C61CD" w:rsidP="007D7271">
      <w:pPr>
        <w:spacing w:line="360" w:lineRule="auto"/>
        <w:jc w:val="both"/>
        <w:rPr>
          <w:sz w:val="24"/>
          <w:szCs w:val="24"/>
        </w:rPr>
      </w:pPr>
      <w:r w:rsidRPr="00C25E8B">
        <w:rPr>
          <w:sz w:val="24"/>
          <w:szCs w:val="24"/>
        </w:rPr>
        <w:t>O</w:t>
      </w:r>
      <w:r w:rsidR="000F4AA3" w:rsidRPr="00C25E8B">
        <w:rPr>
          <w:sz w:val="24"/>
          <w:szCs w:val="24"/>
        </w:rPr>
        <w:t xml:space="preserve"> presente trabalho trata-se de um recorte do projeto “Mulheres Negras que Fazem Ciências”</w:t>
      </w:r>
      <w:r w:rsidR="001E70DF">
        <w:rPr>
          <w:sz w:val="24"/>
          <w:szCs w:val="24"/>
        </w:rPr>
        <w:t xml:space="preserve">, o qual tem como </w:t>
      </w:r>
      <w:r w:rsidR="00A548E2">
        <w:rPr>
          <w:sz w:val="24"/>
          <w:szCs w:val="24"/>
        </w:rPr>
        <w:t xml:space="preserve">principal </w:t>
      </w:r>
      <w:r w:rsidR="00A548E2" w:rsidRPr="00C25E8B">
        <w:rPr>
          <w:sz w:val="24"/>
          <w:szCs w:val="24"/>
        </w:rPr>
        <w:t>objetivo</w:t>
      </w:r>
      <w:r w:rsidR="000F4AA3" w:rsidRPr="00C25E8B">
        <w:rPr>
          <w:sz w:val="24"/>
          <w:szCs w:val="24"/>
        </w:rPr>
        <w:t xml:space="preserve"> incentivar a participação de meninas e mulheres negras na formação, permanência e ascensão na dimensão científica e tecnológica por meio de ações em espaços educativos.</w:t>
      </w:r>
      <w:r w:rsidR="001E70DF" w:rsidRPr="001E70DF">
        <w:t xml:space="preserve"> </w:t>
      </w:r>
      <w:r w:rsidR="001E70DF" w:rsidRPr="001E70DF">
        <w:rPr>
          <w:sz w:val="24"/>
          <w:szCs w:val="24"/>
        </w:rPr>
        <w:t xml:space="preserve">Neste recorte, apresenta-se o processo de elaboração de um jogo didático fundamentado na perspectiva da Educação das Relações Étnico-Raciais (ERER), voltado à valorização da trajetória e das contribuições de mulheres negras para a ciência. </w:t>
      </w:r>
      <w:r w:rsidR="00981BDF" w:rsidRPr="00981BDF">
        <w:rPr>
          <w:sz w:val="24"/>
          <w:szCs w:val="24"/>
        </w:rPr>
        <w:t>Os desdobramentos dessa iniciativa justificam-se pelo reconhecimento de que os processos educativos constituem espaços privilegiados para a problematização das relações étnico-raciais e de gênero, contribuindo para o enfrentamento do racismo, das discriminações e da desvalorização da diversidade étnico-racial (</w:t>
      </w:r>
      <w:proofErr w:type="spellStart"/>
      <w:r w:rsidR="00981BDF" w:rsidRPr="00981BDF">
        <w:rPr>
          <w:sz w:val="24"/>
          <w:szCs w:val="24"/>
        </w:rPr>
        <w:t>Verrangia</w:t>
      </w:r>
      <w:proofErr w:type="spellEnd"/>
      <w:r w:rsidR="00981BDF" w:rsidRPr="00981BDF">
        <w:rPr>
          <w:sz w:val="24"/>
          <w:szCs w:val="24"/>
        </w:rPr>
        <w:t>, 2014</w:t>
      </w:r>
      <w:r w:rsidR="00981BDF">
        <w:rPr>
          <w:sz w:val="24"/>
          <w:szCs w:val="24"/>
        </w:rPr>
        <w:t>)</w:t>
      </w:r>
      <w:r w:rsidR="00981BDF" w:rsidRPr="00981BDF">
        <w:rPr>
          <w:sz w:val="24"/>
          <w:szCs w:val="24"/>
        </w:rPr>
        <w:t>.</w:t>
      </w:r>
      <w:r w:rsidR="00981BDF">
        <w:rPr>
          <w:sz w:val="24"/>
          <w:szCs w:val="24"/>
        </w:rPr>
        <w:t xml:space="preserve"> Entretanto, a</w:t>
      </w:r>
      <w:r w:rsidR="000F4AA3" w:rsidRPr="00C25E8B">
        <w:rPr>
          <w:sz w:val="24"/>
          <w:szCs w:val="24"/>
        </w:rPr>
        <w:t>pesar da Lei 11.645/08 (BRASIL, 2008) indicar a obrigatoriedade da inserção na grade curricular, dos ensinos fundamental e médio, a abordagem de conteúdos relacionados à história e cultura africana, afro-brasileira e indígena, nota-se que estas práticas escola</w:t>
      </w:r>
      <w:r w:rsidR="00C44169">
        <w:rPr>
          <w:sz w:val="24"/>
          <w:szCs w:val="24"/>
        </w:rPr>
        <w:t>res</w:t>
      </w:r>
      <w:r w:rsidR="000F4AA3" w:rsidRPr="00C25E8B">
        <w:rPr>
          <w:sz w:val="24"/>
          <w:szCs w:val="24"/>
        </w:rPr>
        <w:t xml:space="preserve"> não acontecem e </w:t>
      </w:r>
      <w:r w:rsidR="000C7F49" w:rsidRPr="00C25E8B">
        <w:rPr>
          <w:sz w:val="24"/>
          <w:szCs w:val="24"/>
        </w:rPr>
        <w:t>quando acontecem suas</w:t>
      </w:r>
      <w:r w:rsidR="000F4AA3" w:rsidRPr="00C25E8B">
        <w:rPr>
          <w:sz w:val="24"/>
          <w:szCs w:val="24"/>
        </w:rPr>
        <w:t xml:space="preserve"> intencionalidades </w:t>
      </w:r>
      <w:r w:rsidR="000C7F49" w:rsidRPr="00C25E8B">
        <w:rPr>
          <w:sz w:val="24"/>
          <w:szCs w:val="24"/>
        </w:rPr>
        <w:t xml:space="preserve">ficam </w:t>
      </w:r>
      <w:r w:rsidR="000F4AA3" w:rsidRPr="00C25E8B">
        <w:rPr>
          <w:sz w:val="24"/>
          <w:szCs w:val="24"/>
        </w:rPr>
        <w:t xml:space="preserve">restritas </w:t>
      </w:r>
      <w:r w:rsidR="000C7F49" w:rsidRPr="00C25E8B">
        <w:rPr>
          <w:sz w:val="24"/>
          <w:szCs w:val="24"/>
        </w:rPr>
        <w:t>a</w:t>
      </w:r>
      <w:r w:rsidR="000F4AA3" w:rsidRPr="00C25E8B">
        <w:rPr>
          <w:sz w:val="24"/>
          <w:szCs w:val="24"/>
        </w:rPr>
        <w:t xml:space="preserve">o dia da consciência Negra. Para </w:t>
      </w:r>
      <w:proofErr w:type="spellStart"/>
      <w:r w:rsidR="000F4AA3" w:rsidRPr="00C25E8B">
        <w:rPr>
          <w:sz w:val="24"/>
          <w:szCs w:val="24"/>
        </w:rPr>
        <w:t>Verrangia</w:t>
      </w:r>
      <w:proofErr w:type="spellEnd"/>
      <w:r w:rsidR="000F4AA3" w:rsidRPr="00C25E8B">
        <w:rPr>
          <w:sz w:val="24"/>
          <w:szCs w:val="24"/>
        </w:rPr>
        <w:t xml:space="preserve"> (2022) a ausência de projetos pedagógicos engajadas na reeducação das relações étnico-raciais na escola, pode estar associada a insegurança dos(as) professores(as) em trabalhar com temáticas que priorizem atitudes e valores. A falta de conhecimento de recursos e práticas pedagógicas que promovam uma educação baseada nas relações étnico-raciais positiva, condiciona os(as) professores(as) a combater o racismo apenas repreendendo discriminações no interior de suas salas, sem de fato priorizar </w:t>
      </w:r>
      <w:r w:rsidR="000F4AA3" w:rsidRPr="00C25E8B">
        <w:rPr>
          <w:sz w:val="24"/>
          <w:szCs w:val="24"/>
        </w:rPr>
        <w:lastRenderedPageBreak/>
        <w:t>atividades e conteúdos conceituais para promover relações étnico-raciais positivas entre os/as estudantes (Verrangia, 2009).</w:t>
      </w:r>
      <w:r w:rsidR="00900E18" w:rsidRPr="00C25E8B">
        <w:rPr>
          <w:sz w:val="24"/>
          <w:szCs w:val="24"/>
        </w:rPr>
        <w:t xml:space="preserve"> </w:t>
      </w:r>
      <w:r w:rsidR="000F4AA3" w:rsidRPr="00C25E8B">
        <w:rPr>
          <w:sz w:val="24"/>
          <w:szCs w:val="24"/>
        </w:rPr>
        <w:t>Outro fato relevante, indicado pelo autor trata-se da formação inicial e continuada de professores que em muitas das vezes pauta-se apenas nas discussões teóricas sem repensar ou experienciar práticas com</w:t>
      </w:r>
      <w:r w:rsidR="003B21DC">
        <w:rPr>
          <w:sz w:val="24"/>
          <w:szCs w:val="24"/>
        </w:rPr>
        <w:t xml:space="preserve"> </w:t>
      </w:r>
      <w:r w:rsidR="000F4AA3" w:rsidRPr="00C25E8B">
        <w:rPr>
          <w:sz w:val="24"/>
          <w:szCs w:val="24"/>
        </w:rPr>
        <w:t>potencialidades didáticas para as relações étnico</w:t>
      </w:r>
      <w:r w:rsidR="00A548E2">
        <w:rPr>
          <w:sz w:val="24"/>
          <w:szCs w:val="24"/>
        </w:rPr>
        <w:t>-</w:t>
      </w:r>
      <w:r w:rsidR="000F4AA3" w:rsidRPr="00C25E8B">
        <w:rPr>
          <w:sz w:val="24"/>
          <w:szCs w:val="24"/>
        </w:rPr>
        <w:t xml:space="preserve">racial. </w:t>
      </w:r>
      <w:r w:rsidR="003826D4" w:rsidRPr="00C25E8B">
        <w:rPr>
          <w:sz w:val="24"/>
          <w:szCs w:val="24"/>
        </w:rPr>
        <w:t xml:space="preserve">Nesse contexto, elaborou-se um jogo didático fundamentado no modelo didático proposto por </w:t>
      </w:r>
      <w:proofErr w:type="spellStart"/>
      <w:r w:rsidR="003826D4" w:rsidRPr="00C25E8B">
        <w:rPr>
          <w:sz w:val="24"/>
          <w:szCs w:val="24"/>
        </w:rPr>
        <w:t>Verrangia</w:t>
      </w:r>
      <w:proofErr w:type="spellEnd"/>
      <w:r w:rsidR="003826D4" w:rsidRPr="00C25E8B">
        <w:rPr>
          <w:sz w:val="24"/>
          <w:szCs w:val="24"/>
        </w:rPr>
        <w:t xml:space="preserve"> (2022), orientado pelos pressupostos da Educação das Relações Étnico-Raciais (ERER). A proposta tem como objetivo contribuir para a superação de visões preconceituosas e estereotipadas acerca das mulheres cientistas.</w:t>
      </w:r>
      <w:r w:rsidR="00C44169">
        <w:rPr>
          <w:sz w:val="24"/>
          <w:szCs w:val="24"/>
        </w:rPr>
        <w:t xml:space="preserve"> </w:t>
      </w:r>
      <w:r w:rsidR="00C44169" w:rsidRPr="00C44169">
        <w:rPr>
          <w:sz w:val="24"/>
          <w:szCs w:val="24"/>
        </w:rPr>
        <w:t xml:space="preserve">Para a elaboração do jogo didático, inicialmente definiu-se o conjunto de cientistas negras que comporia o material. </w:t>
      </w:r>
      <w:r w:rsidR="00C44169">
        <w:rPr>
          <w:sz w:val="24"/>
          <w:szCs w:val="24"/>
        </w:rPr>
        <w:t>E</w:t>
      </w:r>
      <w:r w:rsidR="00C44169" w:rsidRPr="00C44169">
        <w:rPr>
          <w:sz w:val="24"/>
          <w:szCs w:val="24"/>
        </w:rPr>
        <w:t>m um primeiro momento, realizou-se o levantamento de docentes das áreas de Ciências Exatas (Engenharia, Química, Física e Matemática) vinculadas à universidade de atuação da autora.</w:t>
      </w:r>
      <w:r w:rsidR="003826D4" w:rsidRPr="00C25E8B">
        <w:rPr>
          <w:sz w:val="24"/>
          <w:szCs w:val="24"/>
        </w:rPr>
        <w:t xml:space="preserve"> </w:t>
      </w:r>
      <w:r w:rsidR="00C44169" w:rsidRPr="00C44169">
        <w:rPr>
          <w:sz w:val="24"/>
          <w:szCs w:val="24"/>
        </w:rPr>
        <w:t>Foram mapeadas 301 professoras, a partir de informações institucionais e dos currículos disponíveis na Plataforma Lattes/CNPq, com o objetivo de identificar aquelas autodeclaradas pretas ou pardas. Por meio dessa estratégia, foi possível identificar apenas duas docentes negras, evidenciando a reduzida representatividade desse grupo nas áreas investigadas.</w:t>
      </w:r>
      <w:r w:rsidR="00781564" w:rsidRPr="00C25E8B">
        <w:rPr>
          <w:sz w:val="24"/>
          <w:szCs w:val="24"/>
        </w:rPr>
        <w:t xml:space="preserve"> Diante desse cenário, foi necessário recorrer a outras fontes de informação para subsidiar a construção do jogo</w:t>
      </w:r>
      <w:r w:rsidR="00BE6643">
        <w:rPr>
          <w:sz w:val="24"/>
          <w:szCs w:val="24"/>
        </w:rPr>
        <w:t xml:space="preserve">. </w:t>
      </w:r>
      <w:r w:rsidR="00C82B3B" w:rsidRPr="00C25E8B">
        <w:rPr>
          <w:sz w:val="24"/>
          <w:szCs w:val="24"/>
        </w:rPr>
        <w:t xml:space="preserve">Para </w:t>
      </w:r>
      <w:r w:rsidR="00BE6643">
        <w:rPr>
          <w:sz w:val="24"/>
          <w:szCs w:val="24"/>
        </w:rPr>
        <w:t xml:space="preserve">isso, </w:t>
      </w:r>
      <w:r w:rsidR="00C82B3B" w:rsidRPr="00C25E8B">
        <w:rPr>
          <w:sz w:val="24"/>
          <w:szCs w:val="24"/>
        </w:rPr>
        <w:t>adotaram-se outras estratégias de seleção das cientistas</w:t>
      </w:r>
      <w:r w:rsidR="00384646">
        <w:rPr>
          <w:sz w:val="24"/>
          <w:szCs w:val="24"/>
        </w:rPr>
        <w:t>:</w:t>
      </w:r>
      <w:r w:rsidR="00BE6643">
        <w:rPr>
          <w:sz w:val="24"/>
          <w:szCs w:val="24"/>
        </w:rPr>
        <w:t xml:space="preserve"> </w:t>
      </w:r>
      <w:r w:rsidR="00C82B3B" w:rsidRPr="00C25E8B">
        <w:rPr>
          <w:sz w:val="24"/>
          <w:szCs w:val="24"/>
        </w:rPr>
        <w:t xml:space="preserve">inclusão </w:t>
      </w:r>
      <w:r w:rsidR="00384646">
        <w:rPr>
          <w:sz w:val="24"/>
          <w:szCs w:val="24"/>
        </w:rPr>
        <w:t xml:space="preserve">das cientistas negras do </w:t>
      </w:r>
      <w:r w:rsidR="00C82B3B" w:rsidRPr="00C25E8B">
        <w:rPr>
          <w:sz w:val="24"/>
          <w:szCs w:val="24"/>
        </w:rPr>
        <w:t>projeto "Mulheres Negras que Fazem Ciências"</w:t>
      </w:r>
      <w:r w:rsidR="00384646">
        <w:rPr>
          <w:sz w:val="24"/>
          <w:szCs w:val="24"/>
        </w:rPr>
        <w:t xml:space="preserve"> e a pesquisa bibliográficas n</w:t>
      </w:r>
      <w:r w:rsidR="00C82B3B" w:rsidRPr="00C25E8B">
        <w:rPr>
          <w:sz w:val="24"/>
          <w:szCs w:val="24"/>
        </w:rPr>
        <w:t xml:space="preserve">o livro de passatempos desenvolvido pelo projeto "Meninas e Mulheres na Ciência", da Universidade Federal do Paraná (UFPR). </w:t>
      </w:r>
      <w:r w:rsidR="00B0320E" w:rsidRPr="00B0320E">
        <w:rPr>
          <w:sz w:val="24"/>
          <w:szCs w:val="24"/>
        </w:rPr>
        <w:t xml:space="preserve">Definidas as cientistas, procedeu-se à elaboração </w:t>
      </w:r>
      <w:r w:rsidR="003B21DC">
        <w:rPr>
          <w:sz w:val="24"/>
          <w:szCs w:val="24"/>
        </w:rPr>
        <w:t>das</w:t>
      </w:r>
      <w:r w:rsidR="00B0320E" w:rsidRPr="00B0320E">
        <w:rPr>
          <w:sz w:val="24"/>
          <w:szCs w:val="24"/>
        </w:rPr>
        <w:t xml:space="preserve"> </w:t>
      </w:r>
      <w:r w:rsidR="00384646">
        <w:rPr>
          <w:sz w:val="24"/>
          <w:szCs w:val="24"/>
        </w:rPr>
        <w:t xml:space="preserve">ilustrações a partir da </w:t>
      </w:r>
      <w:r w:rsidR="00B0320E" w:rsidRPr="00B0320E">
        <w:rPr>
          <w:sz w:val="24"/>
          <w:szCs w:val="24"/>
        </w:rPr>
        <w:t>inteligência artificial</w:t>
      </w:r>
      <w:r w:rsidR="00B0320E">
        <w:rPr>
          <w:sz w:val="24"/>
          <w:szCs w:val="24"/>
        </w:rPr>
        <w:t xml:space="preserve"> (</w:t>
      </w:r>
      <w:r w:rsidR="00B0320E" w:rsidRPr="00B0320E">
        <w:rPr>
          <w:sz w:val="24"/>
          <w:szCs w:val="24"/>
        </w:rPr>
        <w:t>ChatGPT</w:t>
      </w:r>
      <w:r w:rsidR="00B0320E">
        <w:rPr>
          <w:sz w:val="24"/>
          <w:szCs w:val="24"/>
        </w:rPr>
        <w:t>)</w:t>
      </w:r>
      <w:r w:rsidR="00B0320E" w:rsidRPr="00B0320E">
        <w:rPr>
          <w:sz w:val="24"/>
          <w:szCs w:val="24"/>
        </w:rPr>
        <w:t xml:space="preserve"> e posteriormente </w:t>
      </w:r>
      <w:r w:rsidR="00384646">
        <w:rPr>
          <w:sz w:val="24"/>
          <w:szCs w:val="24"/>
        </w:rPr>
        <w:t xml:space="preserve">o </w:t>
      </w:r>
      <w:r w:rsidR="00B0320E" w:rsidRPr="00B0320E">
        <w:rPr>
          <w:sz w:val="24"/>
          <w:szCs w:val="24"/>
        </w:rPr>
        <w:t>design gráfico e da identidade visual do jogo</w:t>
      </w:r>
      <w:r w:rsidR="00384646">
        <w:rPr>
          <w:sz w:val="24"/>
          <w:szCs w:val="24"/>
        </w:rPr>
        <w:t xml:space="preserve"> no </w:t>
      </w:r>
      <w:proofErr w:type="spellStart"/>
      <w:r w:rsidR="00384646">
        <w:rPr>
          <w:sz w:val="24"/>
          <w:szCs w:val="24"/>
        </w:rPr>
        <w:t>Canva</w:t>
      </w:r>
      <w:proofErr w:type="spellEnd"/>
      <w:r w:rsidR="00B0320E">
        <w:rPr>
          <w:sz w:val="24"/>
          <w:szCs w:val="24"/>
        </w:rPr>
        <w:t>.</w:t>
      </w:r>
      <w:r w:rsidR="00C25E8B" w:rsidRPr="007D7271">
        <w:rPr>
          <w:sz w:val="24"/>
          <w:szCs w:val="24"/>
        </w:rPr>
        <w:t xml:space="preserve"> </w:t>
      </w:r>
      <w:r w:rsidR="00AB2C66" w:rsidRPr="00AB2C66">
        <w:rPr>
          <w:sz w:val="24"/>
          <w:szCs w:val="24"/>
        </w:rPr>
        <w:t xml:space="preserve">O jogo elaborado foi adaptado a partir do tradicional jogo da memória, configurando-se como um jogo educativo formalizado, uma vez que se atribuiu intencionalidade educativa a um jogo originalmente existente, mediante a inserção de conteúdos e objetivos relacionados </w:t>
      </w:r>
      <w:r w:rsidR="00A548E2" w:rsidRPr="00AB2C66">
        <w:rPr>
          <w:sz w:val="24"/>
          <w:szCs w:val="24"/>
        </w:rPr>
        <w:t>à educação</w:t>
      </w:r>
      <w:r w:rsidR="00AB2C66" w:rsidRPr="00AB2C66">
        <w:rPr>
          <w:sz w:val="24"/>
          <w:szCs w:val="24"/>
        </w:rPr>
        <w:t xml:space="preserve"> das Relações Étnico-Raciais</w:t>
      </w:r>
      <w:r w:rsidR="00AB2C66">
        <w:rPr>
          <w:sz w:val="24"/>
          <w:szCs w:val="24"/>
        </w:rPr>
        <w:t xml:space="preserve"> no contexto das ciências exatas </w:t>
      </w:r>
      <w:r w:rsidR="00AB2C66" w:rsidRPr="00AB2C66">
        <w:rPr>
          <w:sz w:val="24"/>
          <w:szCs w:val="24"/>
        </w:rPr>
        <w:t>(</w:t>
      </w:r>
      <w:proofErr w:type="spellStart"/>
      <w:r w:rsidR="00AB2C66" w:rsidRPr="00AB2C66">
        <w:rPr>
          <w:sz w:val="24"/>
          <w:szCs w:val="24"/>
        </w:rPr>
        <w:t>Cleophas</w:t>
      </w:r>
      <w:proofErr w:type="spellEnd"/>
      <w:r w:rsidR="00AB2C66" w:rsidRPr="00AB2C66">
        <w:rPr>
          <w:sz w:val="24"/>
          <w:szCs w:val="24"/>
        </w:rPr>
        <w:t>,</w:t>
      </w:r>
      <w:r w:rsidR="000D3CEC">
        <w:rPr>
          <w:sz w:val="24"/>
          <w:szCs w:val="24"/>
        </w:rPr>
        <w:t xml:space="preserve"> </w:t>
      </w:r>
      <w:r w:rsidR="00AB2C66" w:rsidRPr="00AB2C66">
        <w:rPr>
          <w:sz w:val="24"/>
          <w:szCs w:val="24"/>
        </w:rPr>
        <w:t>Soares, 201</w:t>
      </w:r>
      <w:r w:rsidR="00AB2C66">
        <w:rPr>
          <w:sz w:val="24"/>
          <w:szCs w:val="24"/>
        </w:rPr>
        <w:t>6</w:t>
      </w:r>
      <w:r w:rsidR="00AB2C66" w:rsidRPr="00AB2C66">
        <w:rPr>
          <w:sz w:val="24"/>
          <w:szCs w:val="24"/>
        </w:rPr>
        <w:t>).</w:t>
      </w:r>
      <w:r w:rsidR="00AB2C66" w:rsidRPr="00AB2C66" w:rsidDel="00AB2C66">
        <w:rPr>
          <w:sz w:val="24"/>
          <w:szCs w:val="24"/>
        </w:rPr>
        <w:t xml:space="preserve"> </w:t>
      </w:r>
      <w:r w:rsidRPr="007D7271">
        <w:rPr>
          <w:sz w:val="24"/>
          <w:szCs w:val="24"/>
        </w:rPr>
        <w:t>O jogo</w:t>
      </w:r>
      <w:r w:rsidRPr="00C25E8B">
        <w:rPr>
          <w:sz w:val="24"/>
          <w:szCs w:val="24"/>
        </w:rPr>
        <w:t xml:space="preserve"> é composto por 40 cartas, medindo 7 × 10 cm, com impressão frente e verso.</w:t>
      </w:r>
      <w:r w:rsidR="00114B65" w:rsidRPr="00C25E8B">
        <w:rPr>
          <w:sz w:val="24"/>
          <w:szCs w:val="24"/>
        </w:rPr>
        <w:t xml:space="preserve"> Na face frontal de cada carta, apresenta-se uma ilustração centralizada da cientista negra acompanhada de seu nome e da respectiva área de atuação na parte inferior. Na porção superior direita, é indicada a instituição </w:t>
      </w:r>
      <w:r w:rsidR="00114B65" w:rsidRPr="00C25E8B">
        <w:rPr>
          <w:sz w:val="24"/>
          <w:szCs w:val="24"/>
        </w:rPr>
        <w:lastRenderedPageBreak/>
        <w:t>à qual a cientista está vinculada, permitindo a identificação de seu contexto de atuação profissional</w:t>
      </w:r>
      <w:r w:rsidRPr="00C25E8B">
        <w:rPr>
          <w:sz w:val="24"/>
          <w:szCs w:val="24"/>
        </w:rPr>
        <w:t>. Como material complementar, elaborou-se uma cartilha com informações biográficas e profissionais das cientistas</w:t>
      </w:r>
      <w:r w:rsidR="007D7271">
        <w:rPr>
          <w:sz w:val="24"/>
          <w:szCs w:val="24"/>
        </w:rPr>
        <w:t>, a ser acessada pela</w:t>
      </w:r>
      <w:r w:rsidR="007D7271" w:rsidRPr="00C25E8B">
        <w:rPr>
          <w:sz w:val="24"/>
          <w:szCs w:val="24"/>
        </w:rPr>
        <w:t xml:space="preserve"> leitura de um QR </w:t>
      </w:r>
      <w:proofErr w:type="spellStart"/>
      <w:r w:rsidR="007D7271" w:rsidRPr="00C25E8B">
        <w:rPr>
          <w:sz w:val="24"/>
          <w:szCs w:val="24"/>
        </w:rPr>
        <w:t>Code</w:t>
      </w:r>
      <w:proofErr w:type="spellEnd"/>
      <w:r w:rsidR="007D7271" w:rsidRPr="00C25E8B">
        <w:rPr>
          <w:sz w:val="24"/>
          <w:szCs w:val="24"/>
        </w:rPr>
        <w:t xml:space="preserve"> impresso na embalagem</w:t>
      </w:r>
      <w:r w:rsidRPr="00C25E8B">
        <w:rPr>
          <w:sz w:val="24"/>
          <w:szCs w:val="24"/>
        </w:rPr>
        <w:t>, possibilitando que os participantes aprofundem seus conhecimentos sobre suas trajetórias e contribuições para a ciência. A cartilha foi construída a partir de diferentes fontes de informação, incluindo os currículos disponíveis na Plataforma Lattes/CNPq, publicações científicas</w:t>
      </w:r>
      <w:r w:rsidR="00C25E8B">
        <w:rPr>
          <w:sz w:val="24"/>
          <w:szCs w:val="24"/>
        </w:rPr>
        <w:t xml:space="preserve"> </w:t>
      </w:r>
      <w:r w:rsidRPr="00C25E8B">
        <w:rPr>
          <w:sz w:val="24"/>
          <w:szCs w:val="24"/>
        </w:rPr>
        <w:t>e outras fontes bibliográficas, ampliando o potencial educativo do jogo.</w:t>
      </w:r>
      <w:r w:rsidR="00114B65" w:rsidRPr="00C25E8B">
        <w:rPr>
          <w:sz w:val="24"/>
          <w:szCs w:val="24"/>
        </w:rPr>
        <w:t xml:space="preserve"> </w:t>
      </w:r>
      <w:r w:rsidR="003B21DC" w:rsidRPr="009C669E">
        <w:rPr>
          <w:sz w:val="24"/>
          <w:szCs w:val="24"/>
        </w:rPr>
        <w:t>De modo geral, a produção do jogo evidencia duas dimensões inter-relacionadas: a dimensão educativa do</w:t>
      </w:r>
      <w:r w:rsidR="003B21DC">
        <w:rPr>
          <w:sz w:val="24"/>
          <w:szCs w:val="24"/>
        </w:rPr>
        <w:t xml:space="preserve"> jogo</w:t>
      </w:r>
      <w:r w:rsidR="003B21DC" w:rsidRPr="009C669E">
        <w:rPr>
          <w:sz w:val="24"/>
          <w:szCs w:val="24"/>
        </w:rPr>
        <w:t xml:space="preserve"> e a dimensão formativa de seu processo de elaboração. Na primeira, o jogo apresenta potencialidades para ampliar a visibilidade de mulheres negras na ciência e fomentar discussões sobre gênero e relações étnico-raciais no espaço escolar. A segunda dimensão relaciona-se à formação inicial,</w:t>
      </w:r>
      <w:r w:rsidR="003B21DC">
        <w:rPr>
          <w:sz w:val="24"/>
          <w:szCs w:val="24"/>
        </w:rPr>
        <w:t xml:space="preserve"> </w:t>
      </w:r>
      <w:r w:rsidR="00384646">
        <w:rPr>
          <w:sz w:val="24"/>
          <w:szCs w:val="24"/>
        </w:rPr>
        <w:t>mediante ao processo</w:t>
      </w:r>
      <w:r w:rsidR="003B21DC" w:rsidRPr="009C669E">
        <w:rPr>
          <w:sz w:val="24"/>
          <w:szCs w:val="24"/>
        </w:rPr>
        <w:t xml:space="preserve"> de pesquisa, seleção e análise de fontes, tomada de decisões e elaboração d</w:t>
      </w:r>
      <w:r w:rsidR="003B21DC">
        <w:rPr>
          <w:sz w:val="24"/>
          <w:szCs w:val="24"/>
        </w:rPr>
        <w:t xml:space="preserve">o jogo </w:t>
      </w:r>
      <w:r w:rsidR="003B21DC" w:rsidRPr="009C669E">
        <w:rPr>
          <w:sz w:val="24"/>
          <w:szCs w:val="24"/>
        </w:rPr>
        <w:t xml:space="preserve">fundamentado na Educação das Relações Étnico-Raciais. </w:t>
      </w:r>
      <w:r w:rsidR="000579B6" w:rsidRPr="00AB2C66">
        <w:rPr>
          <w:sz w:val="24"/>
          <w:szCs w:val="24"/>
        </w:rPr>
        <w:t xml:space="preserve">Dessa forma, o </w:t>
      </w:r>
      <w:r w:rsidR="000579B6">
        <w:rPr>
          <w:sz w:val="24"/>
          <w:szCs w:val="24"/>
        </w:rPr>
        <w:t xml:space="preserve">material </w:t>
      </w:r>
      <w:r w:rsidR="00A548E2">
        <w:rPr>
          <w:sz w:val="24"/>
          <w:szCs w:val="24"/>
        </w:rPr>
        <w:t xml:space="preserve">produzido </w:t>
      </w:r>
      <w:r w:rsidR="00A548E2" w:rsidRPr="00AB2C66">
        <w:rPr>
          <w:sz w:val="24"/>
          <w:szCs w:val="24"/>
        </w:rPr>
        <w:t>ultrapassa</w:t>
      </w:r>
      <w:r w:rsidR="000579B6" w:rsidRPr="00AB2C66">
        <w:rPr>
          <w:sz w:val="24"/>
          <w:szCs w:val="24"/>
        </w:rPr>
        <w:t xml:space="preserve"> a dinâmica do jogo da memória, possibilitando o aprofundamento dos conhecimentos acerca das trajetórias </w:t>
      </w:r>
      <w:r w:rsidR="00115835">
        <w:rPr>
          <w:sz w:val="24"/>
          <w:szCs w:val="24"/>
        </w:rPr>
        <w:t xml:space="preserve">e </w:t>
      </w:r>
      <w:r w:rsidR="00115835" w:rsidRPr="009C669E">
        <w:rPr>
          <w:sz w:val="24"/>
          <w:szCs w:val="24"/>
        </w:rPr>
        <w:t>contribuindo para a construção de práticas docentes comprometidas com uma educação científica antirracista.</w:t>
      </w:r>
      <w:r w:rsidR="00115835">
        <w:rPr>
          <w:sz w:val="24"/>
          <w:szCs w:val="24"/>
        </w:rPr>
        <w:t xml:space="preserve"> </w:t>
      </w:r>
      <w:r w:rsidR="00C25E8B" w:rsidRPr="00C25E8B">
        <w:rPr>
          <w:sz w:val="24"/>
          <w:szCs w:val="24"/>
        </w:rPr>
        <w:t xml:space="preserve">Além disso, tais práticas favorecem o fortalecimento do pertencimento étnico-racial, tanto em nível individual quanto coletivo, ao ampliar a visibilidade de cientistas negras e reconhecer suas contribuições para o desenvolvimento da ciência. </w:t>
      </w:r>
      <w:r w:rsidR="000F4AA3" w:rsidRPr="00C25E8B">
        <w:rPr>
          <w:sz w:val="24"/>
          <w:szCs w:val="24"/>
        </w:rPr>
        <w:t>Precisamos repensar em práticas escolares e formativas que priorizem as relações étnico-raciais, uma vez que convivemos com negros, brancos, indígenas, muçu</w:t>
      </w:r>
      <w:r w:rsidR="00C44169">
        <w:rPr>
          <w:sz w:val="24"/>
          <w:szCs w:val="24"/>
        </w:rPr>
        <w:t>l</w:t>
      </w:r>
      <w:r w:rsidR="000F4AA3" w:rsidRPr="00C25E8B">
        <w:rPr>
          <w:sz w:val="24"/>
          <w:szCs w:val="24"/>
        </w:rPr>
        <w:t>manos, judeus e tantos outros grupos, classificados em categorias historicamente construídas para diferenciar populações, especialmente no âmbito étnico-racial</w:t>
      </w:r>
      <w:r w:rsidR="000D3CEC">
        <w:rPr>
          <w:sz w:val="24"/>
          <w:szCs w:val="24"/>
        </w:rPr>
        <w:t xml:space="preserve">. </w:t>
      </w:r>
    </w:p>
    <w:p w14:paraId="3D2CC223" w14:textId="77777777" w:rsidR="00115835" w:rsidRDefault="0011583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79F3662" w14:textId="0735FCB8" w:rsidR="00C76D29" w:rsidRPr="0024197D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24197D">
        <w:rPr>
          <w:b/>
          <w:bCs/>
          <w:sz w:val="24"/>
          <w:szCs w:val="24"/>
        </w:rPr>
        <w:t>PALAVRAS-CHAVE</w:t>
      </w:r>
    </w:p>
    <w:p w14:paraId="1AD2B19C" w14:textId="1E6C20CF" w:rsidR="00BE6643" w:rsidRDefault="00631C21" w:rsidP="007D72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C25E8B">
        <w:rPr>
          <w:sz w:val="24"/>
          <w:szCs w:val="24"/>
        </w:rPr>
        <w:t xml:space="preserve">Cientistas Negras; Jogos; </w:t>
      </w:r>
      <w:r w:rsidR="00C25E8B" w:rsidRPr="00C25E8B">
        <w:rPr>
          <w:sz w:val="24"/>
          <w:szCs w:val="24"/>
        </w:rPr>
        <w:t>Educação Antirracista.</w:t>
      </w:r>
    </w:p>
    <w:p w14:paraId="7F7BC6BD" w14:textId="77777777" w:rsidR="00BE6643" w:rsidRDefault="00BE6643">
      <w:pPr>
        <w:keepLines/>
        <w:widowControl w:val="0"/>
        <w:spacing w:line="240" w:lineRule="auto"/>
        <w:rPr>
          <w:sz w:val="24"/>
          <w:szCs w:val="24"/>
        </w:rPr>
      </w:pPr>
    </w:p>
    <w:p w14:paraId="380D2555" w14:textId="77777777" w:rsidR="00115835" w:rsidRDefault="00115835">
      <w:pPr>
        <w:keepLines/>
        <w:widowControl w:val="0"/>
        <w:spacing w:line="240" w:lineRule="auto"/>
        <w:rPr>
          <w:sz w:val="24"/>
          <w:szCs w:val="24"/>
        </w:rPr>
      </w:pPr>
    </w:p>
    <w:p w14:paraId="12830233" w14:textId="77777777" w:rsidR="00115835" w:rsidRDefault="00115835">
      <w:pPr>
        <w:keepLines/>
        <w:widowControl w:val="0"/>
        <w:spacing w:line="240" w:lineRule="auto"/>
        <w:rPr>
          <w:sz w:val="24"/>
          <w:szCs w:val="24"/>
        </w:rPr>
      </w:pPr>
    </w:p>
    <w:p w14:paraId="356A46F3" w14:textId="77777777" w:rsidR="00115835" w:rsidRDefault="00115835">
      <w:pPr>
        <w:keepLines/>
        <w:widowControl w:val="0"/>
        <w:spacing w:line="240" w:lineRule="auto"/>
        <w:rPr>
          <w:sz w:val="24"/>
          <w:szCs w:val="24"/>
        </w:rPr>
      </w:pPr>
    </w:p>
    <w:p w14:paraId="6C9575EA" w14:textId="77777777" w:rsidR="00115835" w:rsidRDefault="00115835">
      <w:pPr>
        <w:keepLines/>
        <w:widowControl w:val="0"/>
        <w:spacing w:line="240" w:lineRule="auto"/>
        <w:rPr>
          <w:sz w:val="24"/>
          <w:szCs w:val="24"/>
        </w:rPr>
      </w:pPr>
    </w:p>
    <w:p w14:paraId="423EE7A1" w14:textId="4930B4D0" w:rsidR="00C76D29" w:rsidRPr="0024197D" w:rsidRDefault="00000000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24197D">
        <w:rPr>
          <w:b/>
          <w:bCs/>
          <w:sz w:val="24"/>
          <w:szCs w:val="24"/>
        </w:rPr>
        <w:lastRenderedPageBreak/>
        <w:t xml:space="preserve">REFERÊNCIAS </w:t>
      </w:r>
    </w:p>
    <w:p w14:paraId="5F9E754B" w14:textId="77777777" w:rsidR="00981BDF" w:rsidRDefault="00981BDF">
      <w:pPr>
        <w:keepLines/>
        <w:widowControl w:val="0"/>
        <w:spacing w:line="240" w:lineRule="auto"/>
        <w:rPr>
          <w:sz w:val="24"/>
          <w:szCs w:val="24"/>
        </w:rPr>
      </w:pPr>
    </w:p>
    <w:p w14:paraId="63F393E8" w14:textId="7B3EF6BE" w:rsidR="00981BDF" w:rsidRPr="0063515F" w:rsidRDefault="0063515F" w:rsidP="0063515F">
      <w:r>
        <w:t xml:space="preserve">CLEOPHAS, M.G.; SOARES, M.H.F.B (org.). </w:t>
      </w:r>
      <w:r w:rsidRPr="000D3CEC">
        <w:rPr>
          <w:b/>
          <w:bCs/>
        </w:rPr>
        <w:t>Didatização Lúdica no Ensino de Química/Ciências</w:t>
      </w:r>
      <w:r>
        <w:t>: Teorias de Aprendizagem e Outras Interfaces: Teorias de Aprendizagem e Outras Interfaces. São Paulo: LF Editorial, p.33-43, 2018.</w:t>
      </w:r>
    </w:p>
    <w:p w14:paraId="557636F7" w14:textId="77777777" w:rsidR="00631C21" w:rsidRDefault="00631C21"/>
    <w:p w14:paraId="293C0634" w14:textId="77777777" w:rsidR="00BE6643" w:rsidRPr="00C25E8B" w:rsidRDefault="00BE6643" w:rsidP="00BE6643">
      <w:r w:rsidRPr="00C25E8B">
        <w:t xml:space="preserve">VERRANGIA, D. </w:t>
      </w:r>
      <w:r w:rsidRPr="000D3CEC">
        <w:rPr>
          <w:b/>
          <w:bCs/>
        </w:rPr>
        <w:t>A educação das relações étnico-raciais no ensino de Ciências</w:t>
      </w:r>
      <w:r w:rsidRPr="00C25E8B">
        <w:t>: diálogos possíveis entre Brasil e Estados Unidos. 2009. 335 f. Tese (Doutorado em Ciências Humanas) - Universidade Federal de São Carlos, São Carlos, 2009.</w:t>
      </w:r>
    </w:p>
    <w:p w14:paraId="215DDEE0" w14:textId="77777777" w:rsidR="00BE6643" w:rsidRPr="00C25E8B" w:rsidRDefault="00BE6643"/>
    <w:p w14:paraId="3894902C" w14:textId="7EC6AFA9" w:rsidR="00631C21" w:rsidRPr="00C25E8B" w:rsidRDefault="00631C21" w:rsidP="00631C21">
      <w:r w:rsidRPr="00C25E8B">
        <w:t>VERRANGIA, D</w:t>
      </w:r>
      <w:r w:rsidRPr="00384646">
        <w:rPr>
          <w:b/>
          <w:bCs/>
        </w:rPr>
        <w:t>. Educação científica e diversidade étnico-racial</w:t>
      </w:r>
      <w:r w:rsidRPr="00C25E8B">
        <w:t xml:space="preserve">: o ensino e a pesquisa em foco. Interações, n.31, p. 2-27, 2014. </w:t>
      </w:r>
    </w:p>
    <w:p w14:paraId="622E7735" w14:textId="77777777" w:rsidR="00631C21" w:rsidRPr="00C25E8B" w:rsidRDefault="00631C21" w:rsidP="00631C21"/>
    <w:p w14:paraId="3FBB2E66" w14:textId="33278A8E" w:rsidR="00C76D29" w:rsidRPr="00C25E8B" w:rsidRDefault="00631C21">
      <w:r w:rsidRPr="00C25E8B">
        <w:t xml:space="preserve">VERRANGIA, D. </w:t>
      </w:r>
      <w:r w:rsidRPr="00384646">
        <w:rPr>
          <w:b/>
          <w:bCs/>
        </w:rPr>
        <w:t>A educação das relações étnico-raciais</w:t>
      </w:r>
      <w:r w:rsidRPr="00C25E8B">
        <w:t>: uma proposta teórico-metodológica para a desconstrução de estereótipos na educação em ciências e biologia. Revista de Ensino de Biologia da SBEnBio, v.15, nesp.2, p. 492-512, 2022.</w:t>
      </w:r>
    </w:p>
    <w:p w14:paraId="0AEFC9C4" w14:textId="4211A722" w:rsidR="00C76D29" w:rsidRPr="00C25E8B" w:rsidRDefault="00C76D29">
      <w:pPr>
        <w:spacing w:after="200" w:line="240" w:lineRule="auto"/>
        <w:jc w:val="both"/>
        <w:rPr>
          <w:sz w:val="24"/>
          <w:szCs w:val="24"/>
        </w:rPr>
      </w:pPr>
    </w:p>
    <w:sectPr w:rsidR="00C76D29" w:rsidRPr="00C25E8B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58C2" w14:textId="77777777" w:rsidR="00513022" w:rsidRDefault="00513022">
      <w:pPr>
        <w:spacing w:line="240" w:lineRule="auto"/>
      </w:pPr>
      <w:r>
        <w:separator/>
      </w:r>
    </w:p>
  </w:endnote>
  <w:endnote w:type="continuationSeparator" w:id="0">
    <w:p w14:paraId="7CD5D794" w14:textId="77777777" w:rsidR="00513022" w:rsidRDefault="005130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605615-93EC-4B09-8759-698B747CE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41738A-CC86-4C2B-BDA0-FC17CF0D7F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9F87" w14:textId="77777777" w:rsidR="00C76D2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F4AA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457E" w14:textId="77777777" w:rsidR="00C76D29" w:rsidRDefault="00C76D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4A1A1" w14:textId="77777777" w:rsidR="00513022" w:rsidRDefault="00513022">
      <w:pPr>
        <w:spacing w:line="240" w:lineRule="auto"/>
      </w:pPr>
      <w:r>
        <w:separator/>
      </w:r>
    </w:p>
  </w:footnote>
  <w:footnote w:type="continuationSeparator" w:id="0">
    <w:p w14:paraId="22DC5DC2" w14:textId="77777777" w:rsidR="00513022" w:rsidRDefault="005130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045C" w14:textId="77777777" w:rsidR="00C76D2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1FC6B03" wp14:editId="6BA21C6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06995160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52915E7" wp14:editId="543A217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17163210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F53E73" w14:textId="77777777" w:rsidR="00C76D29" w:rsidRDefault="00C76D29">
    <w:pPr>
      <w:jc w:val="right"/>
    </w:pPr>
  </w:p>
  <w:p w14:paraId="6E699386" w14:textId="77777777" w:rsidR="00C76D29" w:rsidRDefault="00C76D29">
    <w:pPr>
      <w:jc w:val="right"/>
    </w:pPr>
  </w:p>
  <w:p w14:paraId="634D5C09" w14:textId="77777777" w:rsidR="00C76D2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5220D25" wp14:editId="165F328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54405183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74CB" w14:textId="77777777" w:rsidR="00C76D29" w:rsidRDefault="00C76D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E695E"/>
    <w:multiLevelType w:val="multilevel"/>
    <w:tmpl w:val="33B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95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D29"/>
    <w:rsid w:val="000579B6"/>
    <w:rsid w:val="000C7F49"/>
    <w:rsid w:val="000D3CEC"/>
    <w:rsid w:val="000F4AA3"/>
    <w:rsid w:val="00113BB0"/>
    <w:rsid w:val="00114B65"/>
    <w:rsid w:val="00115835"/>
    <w:rsid w:val="00192CBD"/>
    <w:rsid w:val="001E70DF"/>
    <w:rsid w:val="00212A15"/>
    <w:rsid w:val="0024197D"/>
    <w:rsid w:val="002A6D8E"/>
    <w:rsid w:val="003125D5"/>
    <w:rsid w:val="003826D4"/>
    <w:rsid w:val="00384646"/>
    <w:rsid w:val="003B21DC"/>
    <w:rsid w:val="004440C2"/>
    <w:rsid w:val="00474C41"/>
    <w:rsid w:val="0048348B"/>
    <w:rsid w:val="004D1B45"/>
    <w:rsid w:val="00513022"/>
    <w:rsid w:val="00535F33"/>
    <w:rsid w:val="005C39E0"/>
    <w:rsid w:val="005C61CD"/>
    <w:rsid w:val="00631C21"/>
    <w:rsid w:val="0063515F"/>
    <w:rsid w:val="006A3764"/>
    <w:rsid w:val="006C110F"/>
    <w:rsid w:val="006C7C1D"/>
    <w:rsid w:val="00757BCA"/>
    <w:rsid w:val="00781564"/>
    <w:rsid w:val="007D7271"/>
    <w:rsid w:val="00900E18"/>
    <w:rsid w:val="00904CAF"/>
    <w:rsid w:val="00922DE1"/>
    <w:rsid w:val="00981BDF"/>
    <w:rsid w:val="009B0CA1"/>
    <w:rsid w:val="009C669E"/>
    <w:rsid w:val="00A01A03"/>
    <w:rsid w:val="00A35F7A"/>
    <w:rsid w:val="00A548E2"/>
    <w:rsid w:val="00AB2C66"/>
    <w:rsid w:val="00B0320E"/>
    <w:rsid w:val="00B47779"/>
    <w:rsid w:val="00BE6643"/>
    <w:rsid w:val="00C25E8B"/>
    <w:rsid w:val="00C44169"/>
    <w:rsid w:val="00C76D29"/>
    <w:rsid w:val="00C82B3B"/>
    <w:rsid w:val="00C90AB0"/>
    <w:rsid w:val="00DF3200"/>
    <w:rsid w:val="00E27C1A"/>
    <w:rsid w:val="00FA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29E2"/>
  <w15:docId w15:val="{7074DBFD-4CBA-4D82-80CA-BCB0C655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815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1564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1E70D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enna.gomes@ufnt.edu.b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ranciellencostaa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1212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Franciellen Rodrigues Costa</dc:creator>
  <cp:keywords/>
  <dc:description/>
  <cp:lastModifiedBy>Franciellen Rodrigues Costa</cp:lastModifiedBy>
  <cp:revision>4</cp:revision>
  <dcterms:created xsi:type="dcterms:W3CDTF">2026-07-29T16:26:00Z</dcterms:created>
  <dcterms:modified xsi:type="dcterms:W3CDTF">2026-07-29T16:38:00Z</dcterms:modified>
</cp:coreProperties>
</file>