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C8E8E" w14:textId="77777777" w:rsidR="00DF4C4E" w:rsidRDefault="00000000">
      <w:pPr>
        <w:keepNext/>
        <w:spacing w:after="400" w:line="240" w:lineRule="auto"/>
        <w:jc w:val="center"/>
      </w:pPr>
      <w:r>
        <w:rPr>
          <w:b/>
        </w:rPr>
        <w:t>CONVERSATÓRIO 7 — EDUCAÇÃO ANTIRRACISTA NA EDUCAÇÃO BÁSICA: EDUCANDO PARA AS RELAÇÕES ÉTNICO-RACIAIS</w:t>
      </w:r>
    </w:p>
    <w:p w14:paraId="2915E728" w14:textId="77777777" w:rsidR="00DF4C4E" w:rsidRDefault="00000000">
      <w:pPr>
        <w:keepNext/>
        <w:spacing w:after="360" w:line="240" w:lineRule="auto"/>
        <w:jc w:val="center"/>
      </w:pPr>
      <w:r>
        <w:rPr>
          <w:b/>
        </w:rPr>
        <w:t>“Existem cientistas negros?”: da pergunta de um estudante à construção continuada de um percurso antirracista de Ciências na EJA prisional</w:t>
      </w:r>
    </w:p>
    <w:p w14:paraId="4851AFE4" w14:textId="6B271911" w:rsidR="00DF4C4E" w:rsidRDefault="00000000">
      <w:pPr>
        <w:keepNext/>
        <w:spacing w:line="240" w:lineRule="auto"/>
        <w:jc w:val="right"/>
      </w:pPr>
      <w:r>
        <w:rPr>
          <w:sz w:val="22"/>
        </w:rPr>
        <w:t xml:space="preserve">Helena Cristina Aragão de Sá Martins, </w:t>
      </w:r>
      <w:proofErr w:type="spellStart"/>
      <w:r w:rsidR="00973E0B">
        <w:rPr>
          <w:sz w:val="22"/>
        </w:rPr>
        <w:t>Universidad</w:t>
      </w:r>
      <w:proofErr w:type="spellEnd"/>
      <w:r w:rsidR="00973E0B">
        <w:rPr>
          <w:sz w:val="22"/>
        </w:rPr>
        <w:t xml:space="preserve"> </w:t>
      </w:r>
      <w:proofErr w:type="spellStart"/>
      <w:r w:rsidR="00973E0B">
        <w:rPr>
          <w:sz w:val="22"/>
        </w:rPr>
        <w:t>del</w:t>
      </w:r>
      <w:proofErr w:type="spellEnd"/>
      <w:r w:rsidR="00973E0B">
        <w:rPr>
          <w:sz w:val="22"/>
        </w:rPr>
        <w:t xml:space="preserve"> Sol </w:t>
      </w:r>
      <w:r>
        <w:rPr>
          <w:sz w:val="22"/>
        </w:rPr>
        <w:t>(</w:t>
      </w:r>
      <w:r w:rsidR="00973E0B">
        <w:rPr>
          <w:sz w:val="22"/>
        </w:rPr>
        <w:t>UNADES</w:t>
      </w:r>
      <w:r>
        <w:rPr>
          <w:sz w:val="22"/>
        </w:rPr>
        <w:t>), helenaaragaosa@gmail.com</w:t>
      </w:r>
    </w:p>
    <w:p w14:paraId="00D586D0" w14:textId="5FC785EB" w:rsidR="00DF4C4E" w:rsidRDefault="00000000">
      <w:pPr>
        <w:keepNext/>
        <w:spacing w:after="400" w:line="240" w:lineRule="auto"/>
        <w:jc w:val="right"/>
        <w:rPr>
          <w:sz w:val="22"/>
        </w:rPr>
      </w:pPr>
      <w:r>
        <w:rPr>
          <w:sz w:val="22"/>
        </w:rPr>
        <w:t xml:space="preserve">Wagdo da Silva Martins, </w:t>
      </w:r>
      <w:r w:rsidR="00973E0B">
        <w:rPr>
          <w:sz w:val="22"/>
        </w:rPr>
        <w:t>UNADES</w:t>
      </w:r>
      <w:r>
        <w:rPr>
          <w:sz w:val="22"/>
        </w:rPr>
        <w:t xml:space="preserve">, </w:t>
      </w:r>
      <w:hyperlink r:id="rId6" w:history="1">
        <w:r w:rsidR="00973E0B" w:rsidRPr="00973E0B">
          <w:rPr>
            <w:rStyle w:val="Hyperlink"/>
            <w:color w:val="auto"/>
            <w:sz w:val="22"/>
            <w:u w:val="none"/>
          </w:rPr>
          <w:t>wagdo.martins@gmail.com</w:t>
        </w:r>
      </w:hyperlink>
      <w:r w:rsidR="00973E0B">
        <w:rPr>
          <w:sz w:val="22"/>
        </w:rPr>
        <w:t xml:space="preserve">                                   Vanessa dos Santos Conceição, UNADES, nessawoopy@gmail.com</w:t>
      </w:r>
    </w:p>
    <w:p w14:paraId="0E12BFE7" w14:textId="77777777" w:rsidR="00973E0B" w:rsidRDefault="00973E0B">
      <w:pPr>
        <w:keepNext/>
        <w:spacing w:after="400" w:line="240" w:lineRule="auto"/>
        <w:jc w:val="right"/>
      </w:pPr>
    </w:p>
    <w:p w14:paraId="1AA189E5" w14:textId="77777777" w:rsidR="00DF4C4E" w:rsidRDefault="00000000">
      <w:pPr>
        <w:keepNext/>
        <w:spacing w:after="160" w:line="240" w:lineRule="auto"/>
      </w:pPr>
      <w:r>
        <w:rPr>
          <w:b/>
        </w:rPr>
        <w:t>RESUMO</w:t>
      </w:r>
    </w:p>
    <w:p w14:paraId="4233CFBD" w14:textId="4AE7A8CB" w:rsidR="00DF4C4E" w:rsidRDefault="00000000">
      <w:pPr>
        <w:spacing w:after="80" w:line="360" w:lineRule="auto"/>
        <w:jc w:val="both"/>
      </w:pPr>
      <w:r>
        <w:t>Este estudo nasceu durante a devolutiva de uma atividade de Ciências na Educação de Jovens e Adultos (EJA) da Penitenciária do Distrito Federal I. Diante de uma fotografia histórica formada quase exclusivamente por homens brancos europeus, um estudante perguntou se existiam cientistas negros e por que eles quase nunca apareciam na escola. A questão levou à aplicação do questionário “Negros e o conhecimento científico”, com 11 questões, a 60 estudantes das 5ª, 6ª e 7ª etapas. Nenhum participante nomeou uma cientista ou um cientista negro, embora 81% se autodeclarassem pretos ou pardos. Os dados foram compreendidos como sinal de uma memória curricular seletiva. À luz da Lei nº 10.639/2003, justiça curricular significa rever quem é reconhecido como produtor de conhecimento, os conteúdos selecionados e as condições de participação. A análise articula silêncios curriculares (G</w:t>
      </w:r>
      <w:r w:rsidR="00973E0B">
        <w:t>omes</w:t>
      </w:r>
      <w:r>
        <w:t>, 2012), relações étnico-raciais no Ensino de Ciências (</w:t>
      </w:r>
      <w:proofErr w:type="spellStart"/>
      <w:r>
        <w:t>V</w:t>
      </w:r>
      <w:r w:rsidR="00973E0B">
        <w:t>errangia</w:t>
      </w:r>
      <w:proofErr w:type="spellEnd"/>
      <w:r>
        <w:t>; S</w:t>
      </w:r>
      <w:r w:rsidR="00973E0B">
        <w:t>ilva</w:t>
      </w:r>
      <w:r>
        <w:t>, 2010) e educação prisional como direito (O</w:t>
      </w:r>
      <w:r w:rsidR="00973E0B">
        <w:t>nofre</w:t>
      </w:r>
      <w:r>
        <w:t>, 2015). O objetivo foi analisar como a pergunta e o diagnóstico desencadearam um percurso antirracista, identificando indícios de aprendizagem, limites pedagógicos e mudanças documentadas nas etapas sobre Hinton e Moreira, e situando Alice Ball como continuidade ainda não aplicada.</w:t>
      </w:r>
    </w:p>
    <w:p w14:paraId="58B557D1" w14:textId="77777777" w:rsidR="00DF4C4E" w:rsidRDefault="00000000">
      <w:pPr>
        <w:spacing w:after="80" w:line="360" w:lineRule="auto"/>
        <w:jc w:val="both"/>
      </w:pPr>
      <w:r>
        <w:t xml:space="preserve">Trata-se de estudo qualitativo e analítico-reflexivo, desenvolvido com grupos distintos, sem acompanhamento longitudinal. A etapa sobre Hinton ocorreu de 15 a 19 de setembro de 2025, na Semana da EJA, com duas turmas da 7ª etapa; não houve registro consolidado do total de participantes. Em cinco encontros, retomaram-se o </w:t>
      </w:r>
      <w:r>
        <w:lastRenderedPageBreak/>
        <w:t xml:space="preserve">diagnóstico, as leis Jim Crow, a trajetória de Hinton, a sífilis, Tuskegee, ética e direitos em saúde, com apoio do filme </w:t>
      </w:r>
      <w:r>
        <w:rPr>
          <w:i/>
        </w:rPr>
        <w:t>Cobaias</w:t>
      </w:r>
      <w:r>
        <w:t xml:space="preserve"> e da dinâmica “mito ou verdade”. Entre março e abril de 2026, 18 estudantes da 7ª etapa participaram, por sete semanas, de aulas e sete trilhas sobre Juliano Moreira, racismo científico, sistema nervoso, saúde mental, masculinidades e sífilis/neurosífilis.</w:t>
      </w:r>
    </w:p>
    <w:p w14:paraId="3FF6E077" w14:textId="77777777" w:rsidR="00DF4C4E" w:rsidRDefault="00000000">
      <w:pPr>
        <w:spacing w:after="80" w:line="360" w:lineRule="auto"/>
        <w:jc w:val="both"/>
      </w:pPr>
      <w:r>
        <w:t>O corpus reuniu respostas ao diagnóstico; materiais, perguntas, justificativas e anotações docentes da etapa de Hinton; as trilhas e produções dos estudantes no percurso sobre Moreira; e documentos de avaliação e reconstrução. Questões fechadas foram examinadas por frequências simples. Na leitura qualitativa, respostas e trechos de anotações com uma ideia completa constituíram unidades de sentido. Os agrupamentos combinaram eixos orientados pelo objetivo e pelo referencial — autoria negra, racismo, ciência e saúde — e recorrências da avaliação, reunidas em limites do material. Depois, foram confrontados com outros momentos do percurso, preservando dúvidas, contradições e silêncios. Os instrumentos não solicitaram nomes; os registros, produzidos para aperfeiçoar o ensino-aprendizagem, aparecem agregados ou em excertos sem identificação. “Indícios de aprendizagem” designam formulações que mobilizaram conceitos, estabeleceram relações ou reviram explicações, sem pressupor retenção duradoura. “Mudanças” se refere apenas a alterações documentadas no planejamento e nos materiais. O planejamento sobre Alice Ball permaneceu fora do corpus empírico.</w:t>
      </w:r>
    </w:p>
    <w:p w14:paraId="7D0E1283" w14:textId="65D455BC" w:rsidR="00DF4C4E" w:rsidRDefault="00000000">
      <w:pPr>
        <w:spacing w:after="80" w:line="360" w:lineRule="auto"/>
        <w:jc w:val="both"/>
      </w:pPr>
      <w:r>
        <w:t>A primeira mudança verificável ocorreu no planejamento: a pergunta passou a orientar escolhas curriculares. Na devolutiva, frequências e porcentagens ajudaram a mostrar que a ausência de referências negras não se limitava a uma falha pessoal, tornando visíveis os silêncios apontados por Gomes (2012). Com Hinton, sua contribuição para o diagnóstico da sífilis foi relacionada às barreiras raciais da carreira (R</w:t>
      </w:r>
      <w:r w:rsidR="00973E0B">
        <w:t>odríguez</w:t>
      </w:r>
      <w:r>
        <w:t xml:space="preserve">; </w:t>
      </w:r>
      <w:proofErr w:type="spellStart"/>
      <w:r>
        <w:t>L</w:t>
      </w:r>
      <w:r w:rsidR="00973E0B">
        <w:t>ensch</w:t>
      </w:r>
      <w:proofErr w:type="spellEnd"/>
      <w:r>
        <w:t>; P</w:t>
      </w:r>
      <w:r w:rsidR="00973E0B">
        <w:t>odolsky</w:t>
      </w:r>
      <w:r>
        <w:t>, 2022). Assim, as relações étnico-raciais integraram o conteúdo científico, em vez de funcionarem como nota biográfica (</w:t>
      </w:r>
      <w:proofErr w:type="spellStart"/>
      <w:r>
        <w:t>V</w:t>
      </w:r>
      <w:r w:rsidR="00973E0B">
        <w:t>errangia</w:t>
      </w:r>
      <w:proofErr w:type="spellEnd"/>
      <w:r>
        <w:t>; S</w:t>
      </w:r>
      <w:r w:rsidR="00973E0B">
        <w:t>ilva</w:t>
      </w:r>
      <w:r>
        <w:t>, 2010). As leis Jim Crow e Tuskegee suscitaram perguntas sobre racismo institucional, ética, confiança nos serviços de saúde, prevenção, testagem e tratamento. A concentração de conteúdos limitou as retomadas. Sem pós-teste equivalente, não se afirma mudança mensurada; registram-se a qualidade das perguntas e as relações construídas nas discussões.</w:t>
      </w:r>
    </w:p>
    <w:p w14:paraId="1FE93144" w14:textId="3A35FD68" w:rsidR="00DF4C4E" w:rsidRDefault="00000000">
      <w:pPr>
        <w:spacing w:after="80" w:line="360" w:lineRule="auto"/>
        <w:jc w:val="both"/>
      </w:pPr>
      <w:r>
        <w:lastRenderedPageBreak/>
        <w:t>O percurso com Juliano Moreira permitiu maior tempo de retomada. Sua crítica às teorias que associavam raça, mestiçagem, degeneração e doença mental mostrou que a produção científica negra também integra a história brasileira (O</w:t>
      </w:r>
      <w:r w:rsidR="00973E0B">
        <w:t>da</w:t>
      </w:r>
      <w:r>
        <w:t>; </w:t>
      </w:r>
      <w:proofErr w:type="spellStart"/>
      <w:r>
        <w:t>D</w:t>
      </w:r>
      <w:r w:rsidR="00973E0B">
        <w:t>algalarrondo</w:t>
      </w:r>
      <w:proofErr w:type="spellEnd"/>
      <w:r>
        <w:t>, 2000). A expressão “preconceito vestido de ciência”, escrita por um estudante, foi tomada como indício de compreensão de que uma afirmação não se torna neutra apenas por se apresentar como científica. Entre os 18 participantes, 14 assinalaram piora do sono e 13 afirmaram já ter precisado de ajuda psicológica sem conseguir falar. Os dados não foram lidos como diagnóstico nem como prova de neutralização dos efeitos do cárcere. Em diálogo com Onofre (2015), permitiram relacionar corpo, ambiente, sofrimento e masculinidades sem biologização ou culpabilização. Nas atividades finais, apareceram respostas que articularam sífilis, prevenção, testagem, tratamento e possível comprometimento neurológico quando o cuidado é adiado.</w:t>
      </w:r>
    </w:p>
    <w:p w14:paraId="5013B2FA" w14:textId="4876EDE5" w:rsidR="00DF4C4E" w:rsidRDefault="00000000">
      <w:pPr>
        <w:spacing w:after="80" w:line="360" w:lineRule="auto"/>
        <w:jc w:val="both"/>
      </w:pPr>
      <w:r>
        <w:t>A avaliação revelou textos longos, excesso de conceitos, questões que antecipavam respostas e enfraquecimento do tema racial em alguns momentos. A reconstrução ampliou as sete trilhas para 13 e incorporou diagnóstico inicial e final, situações geradoras, hipóteses, perguntas abertas, “Vozes da EJA”, autoavaliação e sínteses. A revisão indica que descolonizar o currículo alcança também perguntas, linguagens e formas de participação (</w:t>
      </w:r>
      <w:r w:rsidR="00973E0B">
        <w:t>Gomes</w:t>
      </w:r>
      <w:r>
        <w:t>, 2012). Derivado desse processo, o planejamento sobre Alice Ball articula microbiologia, hanseníase, raça, gênero e autoria científica, mas sua viabilidade e seus efeitos somente poderão ser examinados após a aplicação. Os resultados sugerem que a presença de cientistas negros ganha densidade quando suas trajetórias se ligam ao conhecimento produzido, às condições históricas e às questões dos estudantes. Os indícios de aprendizagem apareceram em formulações que relacionaram ciência, racismo, saúde e experiência social; as mudanças comprovadas dizem respeito à reorganização dos conteúdos e à revisão dos materiais. A matriz sistematizada — pergunta, diagnóstico, cientista negro ou negra, conteúdo, problema social, participação, avaliação e reconstrução — constitui orientação flexível, não sequência rígida, e pode ser adaptada a outros sujeitos e contextos. Permanecem limites: os momentos envolveram grupos distintos, Hinton não teve pós-teste equivalente, o material precisa ser reaplicado e Alice Ball ainda está no planejamento.</w:t>
      </w:r>
    </w:p>
    <w:p w14:paraId="1EC60048" w14:textId="77777777" w:rsidR="00DF4C4E" w:rsidRDefault="00000000">
      <w:pPr>
        <w:keepNext/>
        <w:spacing w:before="120" w:after="40" w:line="240" w:lineRule="auto"/>
      </w:pPr>
      <w:r>
        <w:rPr>
          <w:b/>
        </w:rPr>
        <w:lastRenderedPageBreak/>
        <w:t>PALAVRAS-CHAVE</w:t>
      </w:r>
    </w:p>
    <w:p w14:paraId="2D058D5E" w14:textId="77777777" w:rsidR="00DF4C4E" w:rsidRDefault="00000000">
      <w:pPr>
        <w:spacing w:after="160" w:line="240" w:lineRule="auto"/>
        <w:jc w:val="both"/>
      </w:pPr>
      <w:r>
        <w:rPr>
          <w:sz w:val="22"/>
        </w:rPr>
        <w:t>EJA prisional; Ensino de Ciências; Educação antirracista; Cientistas negros; Justiça curricular.</w:t>
      </w:r>
    </w:p>
    <w:p w14:paraId="488371FD" w14:textId="77777777" w:rsidR="00973E0B" w:rsidRDefault="00973E0B">
      <w:pPr>
        <w:keepNext/>
        <w:spacing w:before="40" w:after="80" w:line="240" w:lineRule="auto"/>
        <w:rPr>
          <w:b/>
        </w:rPr>
      </w:pPr>
    </w:p>
    <w:p w14:paraId="490D265D" w14:textId="55EEE2E6" w:rsidR="00DF4C4E" w:rsidRDefault="00000000">
      <w:pPr>
        <w:keepNext/>
        <w:spacing w:before="40" w:after="80" w:line="240" w:lineRule="auto"/>
        <w:rPr>
          <w:b/>
        </w:rPr>
      </w:pPr>
      <w:r>
        <w:rPr>
          <w:b/>
        </w:rPr>
        <w:t>REFERÊNCIAS</w:t>
      </w:r>
    </w:p>
    <w:p w14:paraId="5E9A0641" w14:textId="77777777" w:rsidR="00973E0B" w:rsidRDefault="00973E0B">
      <w:pPr>
        <w:keepNext/>
        <w:spacing w:before="40" w:after="80" w:line="240" w:lineRule="auto"/>
      </w:pPr>
    </w:p>
    <w:p w14:paraId="02056BE9" w14:textId="22A4BFC0" w:rsidR="00973E0B" w:rsidRDefault="00000000">
      <w:pPr>
        <w:spacing w:after="80" w:line="240" w:lineRule="auto"/>
      </w:pPr>
      <w:r>
        <w:t xml:space="preserve">BRASIL. Lei nº 10.639, de 9 de janeiro de 2003. Brasília, DF: Presidência da República, 2003. Disponível em: </w:t>
      </w:r>
      <w:hyperlink r:id="rId7" w:history="1">
        <w:r w:rsidR="00973E0B" w:rsidRPr="00AE4E29">
          <w:rPr>
            <w:rStyle w:val="Hyperlink"/>
          </w:rPr>
          <w:t>https://www.planalto.gov.br/ccivil_03/leis/2003/l10.639.htm</w:t>
        </w:r>
      </w:hyperlink>
      <w:r w:rsidR="00973E0B">
        <w:t xml:space="preserve">. </w:t>
      </w:r>
      <w:r>
        <w:t>Acesso em: 29 jul. 2026</w:t>
      </w:r>
    </w:p>
    <w:p w14:paraId="1885A81C" w14:textId="15914B60" w:rsidR="00DF4C4E" w:rsidRDefault="00000000">
      <w:pPr>
        <w:spacing w:after="80" w:line="240" w:lineRule="auto"/>
      </w:pPr>
      <w:r>
        <w:t>.</w:t>
      </w:r>
    </w:p>
    <w:p w14:paraId="5A8F0A58" w14:textId="77777777" w:rsidR="00DF4C4E" w:rsidRDefault="00000000">
      <w:pPr>
        <w:spacing w:after="80" w:line="240" w:lineRule="auto"/>
      </w:pPr>
      <w:r>
        <w:t xml:space="preserve">GOMES, Nilma Lino. Relações étnico-raciais, educação e descolonização dos currículos. </w:t>
      </w:r>
      <w:r>
        <w:rPr>
          <w:i/>
        </w:rPr>
        <w:t>Currículo sem Fronteiras</w:t>
      </w:r>
      <w:r>
        <w:t>, v. 12, n. 1, p. 98-109, 2012.</w:t>
      </w:r>
    </w:p>
    <w:p w14:paraId="74F883A0" w14:textId="77777777" w:rsidR="00973E0B" w:rsidRDefault="00973E0B">
      <w:pPr>
        <w:spacing w:after="80" w:line="240" w:lineRule="auto"/>
      </w:pPr>
    </w:p>
    <w:p w14:paraId="3C8CB972" w14:textId="2B4CADF4" w:rsidR="00DF4C4E" w:rsidRDefault="00000000">
      <w:pPr>
        <w:spacing w:after="80" w:line="240" w:lineRule="auto"/>
      </w:pPr>
      <w:r>
        <w:t xml:space="preserve">ODA, Ana Maria G. R.; DALGALARRONDO, Paulo. Juliano Moreira: um psiquiatra negro frente ao racismo científico. </w:t>
      </w:r>
      <w:r>
        <w:rPr>
          <w:i/>
        </w:rPr>
        <w:t>Revista Brasileira de Psiquiatria</w:t>
      </w:r>
      <w:r>
        <w:t xml:space="preserve">, v. 22, n. 4, p. 178-179, 2000. DOI: </w:t>
      </w:r>
      <w:hyperlink r:id="rId8" w:history="1">
        <w:r w:rsidR="00973E0B" w:rsidRPr="00AE4E29">
          <w:rPr>
            <w:rStyle w:val="Hyperlink"/>
          </w:rPr>
          <w:t>https://doi.org/10.1590/S1516-44462000000400007</w:t>
        </w:r>
      </w:hyperlink>
      <w:r>
        <w:t>.</w:t>
      </w:r>
      <w:r w:rsidR="00973E0B">
        <w:t xml:space="preserve"> </w:t>
      </w:r>
      <w:r w:rsidR="00973E0B">
        <w:t>Acesso em: 29 jul. 2026</w:t>
      </w:r>
      <w:r w:rsidR="00973E0B">
        <w:t>.</w:t>
      </w:r>
    </w:p>
    <w:p w14:paraId="7E06AB02" w14:textId="77777777" w:rsidR="00973E0B" w:rsidRDefault="00973E0B">
      <w:pPr>
        <w:spacing w:after="80" w:line="240" w:lineRule="auto"/>
      </w:pPr>
    </w:p>
    <w:p w14:paraId="7DB31E55" w14:textId="707A9FAD" w:rsidR="00DF4C4E" w:rsidRDefault="00000000">
      <w:pPr>
        <w:spacing w:after="80" w:line="240" w:lineRule="auto"/>
      </w:pPr>
      <w:r>
        <w:t xml:space="preserve">ONOFRE, Elenice M. C. Educação escolar para jovens e adultos em situação de privação de liberdade. </w:t>
      </w:r>
      <w:r>
        <w:rPr>
          <w:i/>
        </w:rPr>
        <w:t>Cadernos CEDES</w:t>
      </w:r>
      <w:r>
        <w:t xml:space="preserve">, v. 35, n. 96, p. 239-255, 2015. DOI: </w:t>
      </w:r>
      <w:hyperlink r:id="rId9" w:history="1">
        <w:r w:rsidR="00973E0B" w:rsidRPr="00AE4E29">
          <w:rPr>
            <w:rStyle w:val="Hyperlink"/>
          </w:rPr>
          <w:t>https://doi.org/10.1590/CC0101-32622015723761</w:t>
        </w:r>
      </w:hyperlink>
      <w:r>
        <w:t>.</w:t>
      </w:r>
      <w:r w:rsidR="00973E0B">
        <w:t xml:space="preserve"> </w:t>
      </w:r>
      <w:r w:rsidR="00973E0B">
        <w:t>Acesso em: 29 jul. 2026</w:t>
      </w:r>
      <w:r w:rsidR="00973E0B">
        <w:t>.</w:t>
      </w:r>
    </w:p>
    <w:p w14:paraId="3A8ED7AD" w14:textId="77777777" w:rsidR="00973E0B" w:rsidRDefault="00973E0B">
      <w:pPr>
        <w:spacing w:after="80" w:line="240" w:lineRule="auto"/>
      </w:pPr>
    </w:p>
    <w:p w14:paraId="5B9F8D80" w14:textId="76C14B82" w:rsidR="00DF4C4E" w:rsidRDefault="00000000">
      <w:pPr>
        <w:spacing w:after="80" w:line="240" w:lineRule="auto"/>
      </w:pPr>
      <w:r w:rsidRPr="00973E0B">
        <w:rPr>
          <w:lang w:val="en-US"/>
        </w:rPr>
        <w:t xml:space="preserve">RODRÍGUEZ, Ángel; LENSCH, M. William; PODOLSKY, Scott H. William A. Hinton (1883-1959): diagnosing and confronting racism in the medical profession. </w:t>
      </w:r>
      <w:r w:rsidRPr="00973E0B">
        <w:rPr>
          <w:i/>
          <w:lang w:val="en-US"/>
        </w:rPr>
        <w:t>Journal of Racial and Ethnic Health Disparities</w:t>
      </w:r>
      <w:r w:rsidRPr="00973E0B">
        <w:rPr>
          <w:lang w:val="en-US"/>
        </w:rPr>
        <w:t xml:space="preserve">, v. 9, n. 5, p. 1626-1631, 2022. </w:t>
      </w:r>
      <w:r>
        <w:t xml:space="preserve">DOI: </w:t>
      </w:r>
      <w:hyperlink r:id="rId10" w:history="1">
        <w:r w:rsidR="00973E0B" w:rsidRPr="00AE4E29">
          <w:rPr>
            <w:rStyle w:val="Hyperlink"/>
          </w:rPr>
          <w:t>https://doi.org/10.1007/s40615-021-01102-8</w:t>
        </w:r>
      </w:hyperlink>
      <w:r>
        <w:t>.</w:t>
      </w:r>
      <w:r w:rsidR="00973E0B">
        <w:t xml:space="preserve"> </w:t>
      </w:r>
      <w:r w:rsidR="00973E0B">
        <w:t>Acesso em: 29 jul. 2026</w:t>
      </w:r>
      <w:r w:rsidR="00973E0B">
        <w:t>.</w:t>
      </w:r>
    </w:p>
    <w:p w14:paraId="55FFD547" w14:textId="77777777" w:rsidR="00973E0B" w:rsidRDefault="00973E0B">
      <w:pPr>
        <w:spacing w:after="80" w:line="240" w:lineRule="auto"/>
      </w:pPr>
    </w:p>
    <w:p w14:paraId="130453A0" w14:textId="255CDE1A" w:rsidR="00DF4C4E" w:rsidRDefault="00000000">
      <w:pPr>
        <w:spacing w:after="80" w:line="240" w:lineRule="auto"/>
      </w:pPr>
      <w:r>
        <w:t xml:space="preserve">VERRANGIA, Douglas; SILVA, Petronilha B. G. e. Cidadania, relações étnico-raciais e educação: desafios e potencialidades do Ensino de Ciências. </w:t>
      </w:r>
      <w:r>
        <w:rPr>
          <w:i/>
        </w:rPr>
        <w:t>Educação e Pesquisa</w:t>
      </w:r>
      <w:r>
        <w:t xml:space="preserve">, v. 36, n. 3, p. 705-718, 2010. DOI: </w:t>
      </w:r>
      <w:hyperlink r:id="rId11" w:history="1">
        <w:r w:rsidR="00973E0B" w:rsidRPr="00AE4E29">
          <w:rPr>
            <w:rStyle w:val="Hyperlink"/>
          </w:rPr>
          <w:t>https://doi.org/10.1590/S1517-97022010000300004</w:t>
        </w:r>
      </w:hyperlink>
      <w:r>
        <w:t>.</w:t>
      </w:r>
      <w:r w:rsidR="00973E0B">
        <w:t xml:space="preserve"> </w:t>
      </w:r>
      <w:r w:rsidR="00973E0B">
        <w:t>Acesso em: 29 jul. 2026</w:t>
      </w:r>
      <w:r w:rsidR="00973E0B">
        <w:t>.</w:t>
      </w:r>
    </w:p>
    <w:sectPr w:rsidR="00DF4C4E">
      <w:headerReference w:type="default" r:id="rId12"/>
      <w:footerReference w:type="default" r:id="rId13"/>
      <w:headerReference w:type="first" r:id="rId14"/>
      <w:footerReference w:type="firs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F1BF4" w14:textId="77777777" w:rsidR="00531BC1" w:rsidRDefault="00531BC1">
      <w:pPr>
        <w:spacing w:line="240" w:lineRule="auto"/>
      </w:pPr>
      <w:r>
        <w:separator/>
      </w:r>
    </w:p>
  </w:endnote>
  <w:endnote w:type="continuationSeparator" w:id="0">
    <w:p w14:paraId="37E0ACF1" w14:textId="77777777" w:rsidR="00531BC1" w:rsidRDefault="00531B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194D59-E55D-43FC-8A41-6A4A2A01580D}"/>
  </w:font>
  <w:font w:name="Cambria">
    <w:panose1 w:val="02040503050406030204"/>
    <w:charset w:val="00"/>
    <w:family w:val="roman"/>
    <w:pitch w:val="variable"/>
    <w:sig w:usb0="E00006FF" w:usb1="420024FF" w:usb2="02000000" w:usb3="00000000" w:csb0="0000019F" w:csb1="00000000"/>
    <w:embedRegular r:id="rId2" w:fontKey="{16384513-FEF5-4E76-A12B-190A02B37E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D6B5" w14:textId="77777777" w:rsidR="000B7B32" w:rsidRDefault="00000000">
    <w:pPr>
      <w:jc w:val="center"/>
    </w:pPr>
    <w:r>
      <w:fldChar w:fldCharType="begin"/>
    </w:r>
    <w:r>
      <w:instrText>PAGE</w:instrText>
    </w:r>
    <w:r>
      <w:fldChar w:fldCharType="separate"/>
    </w:r>
    <w:r w:rsidR="005542E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005E" w14:textId="77777777" w:rsidR="000B7B32" w:rsidRDefault="000B7B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1068" w14:textId="77777777" w:rsidR="00531BC1" w:rsidRDefault="00531BC1">
      <w:pPr>
        <w:spacing w:line="240" w:lineRule="auto"/>
      </w:pPr>
      <w:r>
        <w:separator/>
      </w:r>
    </w:p>
  </w:footnote>
  <w:footnote w:type="continuationSeparator" w:id="0">
    <w:p w14:paraId="00575278" w14:textId="77777777" w:rsidR="00531BC1" w:rsidRDefault="00531B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822C" w14:textId="77777777" w:rsidR="000B7B32" w:rsidRDefault="00000000">
    <w:pPr>
      <w:jc w:val="right"/>
    </w:pPr>
    <w:r>
      <w:rPr>
        <w:noProof/>
      </w:rPr>
      <w:drawing>
        <wp:anchor distT="114300" distB="114300" distL="114300" distR="114300" simplePos="0" relativeHeight="251658240" behindDoc="1" locked="0" layoutInCell="1" hidden="0" allowOverlap="1" wp14:anchorId="52E27278" wp14:editId="544E57C9">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5C8A8CF7" wp14:editId="4A4EBC7E">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678E8B14" w14:textId="77777777" w:rsidR="000B7B32" w:rsidRDefault="000B7B32">
    <w:pPr>
      <w:jc w:val="right"/>
    </w:pPr>
  </w:p>
  <w:p w14:paraId="627A67D6" w14:textId="77777777" w:rsidR="000B7B32" w:rsidRDefault="000B7B32">
    <w:pPr>
      <w:jc w:val="right"/>
    </w:pPr>
  </w:p>
  <w:p w14:paraId="0CEE7A53" w14:textId="77777777" w:rsidR="000B7B32" w:rsidRDefault="00000000">
    <w:r>
      <w:rPr>
        <w:noProof/>
      </w:rPr>
      <w:drawing>
        <wp:anchor distT="114300" distB="114300" distL="114300" distR="114300" simplePos="0" relativeHeight="251660288" behindDoc="1" locked="0" layoutInCell="1" hidden="0" allowOverlap="1" wp14:anchorId="49A202AB" wp14:editId="674D2C3E">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3C6F" w14:textId="77777777" w:rsidR="000B7B32" w:rsidRDefault="000B7B3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B32"/>
    <w:rsid w:val="000B7B32"/>
    <w:rsid w:val="00211712"/>
    <w:rsid w:val="00531BC1"/>
    <w:rsid w:val="005542E3"/>
    <w:rsid w:val="007152EC"/>
    <w:rsid w:val="00973E0B"/>
    <w:rsid w:val="00D76B1A"/>
    <w:rsid w:val="00DF4C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0348"/>
  <w15:docId w15:val="{D2569A50-56A1-47B4-ACE5-CAC5CA18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973E0B"/>
    <w:rPr>
      <w:color w:val="0000FF" w:themeColor="hyperlink"/>
      <w:u w:val="single"/>
    </w:rPr>
  </w:style>
  <w:style w:type="character" w:styleId="MenoPendente">
    <w:name w:val="Unresolved Mention"/>
    <w:basedOn w:val="Fontepargpadro"/>
    <w:uiPriority w:val="99"/>
    <w:semiHidden/>
    <w:unhideWhenUsed/>
    <w:rsid w:val="00973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590/S1516-44462000000400007"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planalto.gov.br/ccivil_03/leis/2003/l10.639.htm"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wagdo.martins@gmail.com" TargetMode="External"/><Relationship Id="rId11" Type="http://schemas.openxmlformats.org/officeDocument/2006/relationships/hyperlink" Target="https://doi.org/10.1590/S1517-97022010000300004"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s://doi.org/10.1007/s40615-021-01102-8" TargetMode="External"/><Relationship Id="rId4" Type="http://schemas.openxmlformats.org/officeDocument/2006/relationships/footnotes" Target="footnotes.xml"/><Relationship Id="rId9" Type="http://schemas.openxmlformats.org/officeDocument/2006/relationships/hyperlink" Target="https://doi.org/10.1590/CC0101-32622015723761"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1394</Words>
  <Characters>7532</Characters>
  <Application>Microsoft Office Word</Application>
  <DocSecurity>0</DocSecurity>
  <Lines>62</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“Existem cientistas negros?”: da pergunta de um estudante à construção continuada de um percurso antirracista de Ciências na EJA prisional</dc:title>
  <dc:subject>Resumo expandido - V Narrativas interculturais, decoloniais e antirracistas em educação</dc:subject>
  <dc:creator>Helena Cristina Aragão de Sá Martins;Wagdo da Silva Martins</dc:creator>
  <cp:keywords>EJA prisional; Ensino de Ciências; Educação antirracista; Cientistas negros; Justiça curricular</cp:keywords>
  <cp:lastModifiedBy>helena.martins@edu.se.df.gov.br</cp:lastModifiedBy>
  <cp:revision>2</cp:revision>
  <dcterms:created xsi:type="dcterms:W3CDTF">2026-07-29T22:33:00Z</dcterms:created>
  <dcterms:modified xsi:type="dcterms:W3CDTF">2026-07-29T22:33:00Z</dcterms:modified>
</cp:coreProperties>
</file>