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664C" w14:textId="77777777" w:rsidR="001D1133" w:rsidRDefault="00000000">
      <w:pPr>
        <w:keepNext/>
        <w:spacing w:after="160" w:line="240" w:lineRule="auto"/>
        <w:jc w:val="center"/>
      </w:pPr>
      <w:r>
        <w:rPr>
          <w:b/>
          <w:sz w:val="24"/>
        </w:rPr>
        <w:t>CONVERSATÓRIO 12 - EDUCAÇÃO DECOLONIAL E O ENSINO DE CIÊNCIAS NATURAIS E MATEMÁTICA</w:t>
      </w:r>
    </w:p>
    <w:p w14:paraId="6DA93365" w14:textId="77777777" w:rsidR="001D1133" w:rsidRDefault="00000000">
      <w:pPr>
        <w:keepNext/>
        <w:spacing w:after="160" w:line="240" w:lineRule="auto"/>
        <w:jc w:val="center"/>
      </w:pPr>
      <w:r>
        <w:rPr>
          <w:b/>
          <w:sz w:val="24"/>
        </w:rPr>
        <w:t>Do corpo contado ao sujeito que conta: letramento estatístico antirracista na EJA prisional</w:t>
      </w:r>
    </w:p>
    <w:p w14:paraId="720120FF" w14:textId="77777777" w:rsidR="00FA1AA6" w:rsidRDefault="00FA1AA6" w:rsidP="00FA1AA6">
      <w:pPr>
        <w:keepNext/>
        <w:spacing w:line="240" w:lineRule="auto"/>
        <w:jc w:val="right"/>
      </w:pPr>
    </w:p>
    <w:p w14:paraId="0F2595F7" w14:textId="2D42AD5A" w:rsidR="001D1133" w:rsidRDefault="00000000" w:rsidP="00FA1AA6">
      <w:pPr>
        <w:keepNext/>
        <w:spacing w:line="240" w:lineRule="auto"/>
        <w:jc w:val="right"/>
      </w:pPr>
      <w:proofErr w:type="spellStart"/>
      <w:r>
        <w:t>Wagdo</w:t>
      </w:r>
      <w:proofErr w:type="spellEnd"/>
      <w:r>
        <w:t xml:space="preserve"> da Silva Martins, </w:t>
      </w:r>
      <w:proofErr w:type="spellStart"/>
      <w:r>
        <w:t>Universidad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Sol (UNADES), wagdo.martins@gmail.com</w:t>
      </w:r>
    </w:p>
    <w:p w14:paraId="2FF6EA57" w14:textId="72446082" w:rsidR="001D1133" w:rsidRDefault="00FA1AA6">
      <w:pPr>
        <w:spacing w:line="240" w:lineRule="auto"/>
        <w:jc w:val="right"/>
      </w:pPr>
      <w:r>
        <w:t>Vanessa dos Santos Conceição,</w:t>
      </w:r>
      <w:r w:rsidR="00000000">
        <w:t xml:space="preserve"> UNADES, </w:t>
      </w:r>
      <w:r w:rsidRPr="00FA1AA6">
        <w:t>nessawoopy@gmail.com</w:t>
      </w:r>
    </w:p>
    <w:p w14:paraId="17518407" w14:textId="77777777" w:rsidR="00FA1AA6" w:rsidRDefault="00FA1AA6">
      <w:pPr>
        <w:keepNext/>
        <w:spacing w:before="200" w:after="80" w:line="240" w:lineRule="auto"/>
        <w:rPr>
          <w:b/>
          <w:sz w:val="24"/>
        </w:rPr>
      </w:pPr>
    </w:p>
    <w:p w14:paraId="2E88DBA1" w14:textId="443744A7" w:rsidR="001D1133" w:rsidRDefault="00000000">
      <w:pPr>
        <w:keepNext/>
        <w:spacing w:before="200" w:after="80" w:line="240" w:lineRule="auto"/>
      </w:pPr>
      <w:r>
        <w:rPr>
          <w:b/>
          <w:sz w:val="24"/>
        </w:rPr>
        <w:t>RESUMO</w:t>
      </w:r>
    </w:p>
    <w:p w14:paraId="535E8907" w14:textId="77777777" w:rsidR="001D1133" w:rsidRDefault="00000000">
      <w:pPr>
        <w:spacing w:line="360" w:lineRule="auto"/>
        <w:jc w:val="both"/>
      </w:pPr>
      <w:r>
        <w:rPr>
          <w:sz w:val="24"/>
        </w:rPr>
        <w:t>Pessoas privadas de liberdade aparecem com frequência nos levantamentos oficiais, distribuídas por raça ou cor, escolaridade, trabalho, regime de cumprimento da pena e participação em atividades educacionais. Esses dados são indispensáveis à formulação de políticas públicas, mas costumam mantê-las na condição de população observada, classificada e administrada. Na escola prisional, os mesmos números raramente se tornam objeto de investigação. Quando porcentagens, frequências e gráficos são ensinados sem que se pergunte quem foi contado, em relação a qual total e segundo quais categorias, a Estatística se reduz ao procedimento e pouco contribui para compreender os indicadores que sustentam discursos sobre o cárcere.</w:t>
      </w:r>
    </w:p>
    <w:p w14:paraId="6CBBADB4" w14:textId="77777777" w:rsidR="001D1133" w:rsidRDefault="00000000">
      <w:pPr>
        <w:spacing w:line="360" w:lineRule="auto"/>
        <w:jc w:val="both"/>
      </w:pPr>
      <w:r>
        <w:rPr>
          <w:sz w:val="24"/>
        </w:rPr>
        <w:t>Este estudo examina dados oficiais sobre raça e educação no sistema prisional e, a partir dessa leitura, propõe uma trilha de letramento estatístico antirracista para a Educação de Jovens e Adultos (EJA) em situação de privação de liberdade. O recorte enfrenta uma lacuna: ainda são escassas as produções que aproximam Educação Matemática, crítica racial e estatísticas penitenciárias, enquanto a Matemática permanece pouco presente entre os produtos educacionais destinados a esse público (Coelho; Braga, 2025). A Lei nº 10.639/2003, convém lembrar, não restringe a educação das relações étnico-raciais a componentes curriculares específicos. Na Matemática, esse compromisso exige interrogar classificações e usos sociais dos números, em vez de tratar o racismo como tema ilustrativo. A discussão articula a Educação Matemática crítica de Skovsmose (2001), o letramento estatístico de Gal (2002), a crítica ao epistemicídio de Carneiro (2023) e o estudo de Rosa e Powell (2024) sobre Educação Matemática antirracista.</w:t>
      </w:r>
    </w:p>
    <w:p w14:paraId="7703BC43" w14:textId="77777777" w:rsidR="001D1133" w:rsidRDefault="00000000">
      <w:pPr>
        <w:spacing w:line="360" w:lineRule="auto"/>
        <w:jc w:val="both"/>
      </w:pPr>
      <w:r>
        <w:rPr>
          <w:sz w:val="24"/>
        </w:rPr>
        <w:t xml:space="preserve">A pesquisa é qualitativa, teórico-documental e analítico-propositiva, com apoio da estatística descritiva. Seu corpus principal é o Relatório de Informações Penais do segundo semestre de 2025, elaborado pela Secretaria Nacional de Políticas Penais (SENAPPEN). A análise concentrou-se nas pessoas em cela física e nos quadros relativos à população, </w:t>
      </w:r>
      <w:r>
        <w:rPr>
          <w:sz w:val="24"/>
        </w:rPr>
        <w:lastRenderedPageBreak/>
        <w:t>à raça ou cor e à educação. Foram examinados períodos, unidades de contagem, denominadores, categorias e registros ausentes; somas, proporções e percentuais foram conferidos para distinguir o que a base permite afirmar de interpretações que excederiam seu alcance. Cumpre notar que o relatório reúne informações encaminhadas semestralmente pelas administrações penitenciárias ao Sistema Nacional de Informações Penais (SISDEPEN), o que requer atenção às definições adotadas e à completude dos registros (Brasil, 2026).</w:t>
      </w:r>
    </w:p>
    <w:p w14:paraId="655A4981" w14:textId="77777777" w:rsidR="001D1133" w:rsidRDefault="00000000">
      <w:pPr>
        <w:spacing w:line="360" w:lineRule="auto"/>
        <w:jc w:val="both"/>
      </w:pPr>
      <w:r>
        <w:rPr>
          <w:sz w:val="24"/>
        </w:rPr>
        <w:t>Na tabela sobre raça ou cor, aparecem 116.552 pessoas pretas e 360.874 pardas. Para fins analíticos, a reunião dessas categorias, aqui compreendida como população negra, totaliza 477.426 registros. O percentual varia conforme o denominador: corresponde a 66,1% dos 722.604 registros da tabela e a 68,8% dos 693.975 casos com raça ou cor informada. Há, ainda, uma diferença de 4.697 registros entre esse quadro e as 727.301 pessoas apresentadas como população em cela física. Não se trata de escolher o resultado mais expressivo, mas de reconhecer que cada cálculo responde a uma pergunta distinta. Os 28.629 casos classificados como “não informado” não podem ser redistribuídos por suposição; expõem um limite documental que restringe as inferências possíveis (Brasil, 2026).</w:t>
      </w:r>
    </w:p>
    <w:p w14:paraId="53C2BABF" w14:textId="77777777" w:rsidR="001D1133" w:rsidRDefault="00000000">
      <w:pPr>
        <w:spacing w:line="360" w:lineRule="auto"/>
        <w:jc w:val="both"/>
      </w:pPr>
      <w:r>
        <w:rPr>
          <w:sz w:val="24"/>
        </w:rPr>
        <w:t>Outra cautela decorre da unidade contabilizada. O relatório registra 2.972.839 atividades educacionais no semestre, entre educação escolar, capacitação profissional, remição pela leitura ou pelo esporte e ações complementares. Esse volume não corresponde ao número de estudantes, pois uma pessoa pode aparecer em mais de uma modalidade, e a base não identifica participantes únicos. Em seção específica, registram-se 150.866 pessoas em educação escolar. Dividir esse quantitativo pela população existente em 31 de dezembro resulta em uma razão próxima de 20,7%, mas não autoriza denominá-la taxa de atendimento: numerador e denominador se referem a períodos e unidades de contagem possivelmente incompatíveis. Vale observar que uma divisão aritmeticamente possível nem sempre produz um indicador metodologicamente válido (Brasil, 2026).</w:t>
      </w:r>
    </w:p>
    <w:p w14:paraId="708305E7" w14:textId="77777777" w:rsidR="001D1133" w:rsidRDefault="00000000">
      <w:pPr>
        <w:spacing w:line="360" w:lineRule="auto"/>
        <w:jc w:val="both"/>
      </w:pPr>
      <w:r>
        <w:rPr>
          <w:sz w:val="24"/>
        </w:rPr>
        <w:t xml:space="preserve">A leitura do corpus orientou a trilha impressa “Do corpo contado ao sujeito que conta”. Seus sete movimentos percorrem a definição da população, a comparação entre denominadores, os registros ausentes, a distinção entre pessoas e atividades, as taxas, os gráficos e a contraleitura estatística. Em lugar de oferecer conclusões prontas, a proposta solicita que o estudante localize a fonte, refaça cálculos, justifique agrupamentos raciais, reconheça ausências, examine títulos e escalas e escreva sobre o que os dados mostram, o que não </w:t>
      </w:r>
      <w:r>
        <w:rPr>
          <w:sz w:val="24"/>
        </w:rPr>
        <w:lastRenderedPageBreak/>
        <w:t>alcançam e quais informações ainda seriam necessárias. O suporte impresso responde às restrições de acesso digital no cárcere, sem converter essa limitação em renúncia à investigação ou à autoria.</w:t>
      </w:r>
    </w:p>
    <w:p w14:paraId="6D866AEC" w14:textId="77777777" w:rsidR="001D1133" w:rsidRDefault="00000000">
      <w:pPr>
        <w:spacing w:line="360" w:lineRule="auto"/>
        <w:jc w:val="both"/>
      </w:pPr>
      <w:r>
        <w:rPr>
          <w:sz w:val="24"/>
        </w:rPr>
        <w:t>O letramento estatístico antirracista é compreendido como a capacidade de interpretar e produzir informações quantitativas sobre raça, encarceramento e educação, examinando procedência, critérios de classificação, denominadores, ausências e efeitos sociais. A quantificação não é recusada; busca-se democratizar as condições de compreendê-la. Nessa perspectiva, a justiça epistêmica requer reconhecer os sujeitos afetados pelos dados como intérpretes legítimos das informações que narram suas vidas. Ao conferir procedimentos e problematizar a construção dos indicadores, o estudante deixa de figurar apenas como unidade de uma estatística penitenciária e passa a ler criticamente os números pelos quais sua realidade é representada. Como a trilha ainda não foi aplicada, a contribuição permanece documental, teórica e pedagógica; seus efeitos formativos deverão ser examinados posteriormente.</w:t>
      </w:r>
    </w:p>
    <w:p w14:paraId="58C0D140" w14:textId="77777777" w:rsidR="001D1133" w:rsidRPr="00FA1AA6" w:rsidRDefault="00000000">
      <w:pPr>
        <w:spacing w:before="160" w:after="160" w:line="240" w:lineRule="auto"/>
        <w:jc w:val="both"/>
        <w:rPr>
          <w:sz w:val="24"/>
          <w:szCs w:val="24"/>
        </w:rPr>
      </w:pPr>
      <w:r w:rsidRPr="00FA1AA6">
        <w:rPr>
          <w:b/>
          <w:sz w:val="24"/>
          <w:szCs w:val="24"/>
        </w:rPr>
        <w:t xml:space="preserve">Palavras-chave: </w:t>
      </w:r>
      <w:r w:rsidRPr="00FA1AA6">
        <w:rPr>
          <w:sz w:val="24"/>
          <w:szCs w:val="24"/>
        </w:rPr>
        <w:t>EJA prisional; Educação Matemática; Letramento estatístico; Relações étnico-raciais; Justiça epistêmica.</w:t>
      </w:r>
    </w:p>
    <w:p w14:paraId="78286547" w14:textId="77777777" w:rsidR="001D1133" w:rsidRDefault="00000000">
      <w:pPr>
        <w:keepNext/>
        <w:spacing w:before="80" w:after="80" w:line="240" w:lineRule="auto"/>
      </w:pPr>
      <w:r>
        <w:rPr>
          <w:b/>
          <w:sz w:val="24"/>
        </w:rPr>
        <w:t>REFERÊNCIAS</w:t>
      </w:r>
    </w:p>
    <w:p w14:paraId="40C25D9D" w14:textId="77777777" w:rsidR="001D1133" w:rsidRDefault="00000000">
      <w:pPr>
        <w:spacing w:line="240" w:lineRule="auto"/>
        <w:rPr>
          <w:sz w:val="24"/>
        </w:rPr>
      </w:pPr>
      <w:r>
        <w:rPr>
          <w:sz w:val="24"/>
        </w:rPr>
        <w:t xml:space="preserve">BRASIL. Lei nº 10.639, de 9 de janeiro de 2003. Brasília, DF: Presidência da República, 2003. Disponível em: </w:t>
      </w:r>
      <w:hyperlink r:id="rId6">
        <w:r>
          <w:rPr>
            <w:color w:val="0563C1"/>
            <w:sz w:val="24"/>
            <w:u w:val="single"/>
          </w:rPr>
          <w:t>https://www.planalto.gov.br/ccivil_03/leis/2003/l10.639.htm</w:t>
        </w:r>
      </w:hyperlink>
      <w:r>
        <w:rPr>
          <w:sz w:val="24"/>
        </w:rPr>
        <w:t>. Acesso em: 19 jul. 2026.</w:t>
      </w:r>
    </w:p>
    <w:p w14:paraId="4BB5C5A7" w14:textId="77777777" w:rsidR="00FA1AA6" w:rsidRDefault="00FA1AA6">
      <w:pPr>
        <w:spacing w:line="240" w:lineRule="auto"/>
      </w:pPr>
    </w:p>
    <w:p w14:paraId="7B8E1D95" w14:textId="77777777" w:rsidR="001D1133" w:rsidRDefault="00000000">
      <w:pPr>
        <w:spacing w:line="240" w:lineRule="auto"/>
        <w:rPr>
          <w:sz w:val="24"/>
        </w:rPr>
      </w:pPr>
      <w:r>
        <w:rPr>
          <w:sz w:val="24"/>
        </w:rPr>
        <w:t xml:space="preserve">BRASIL. Ministério da Justiça e Segurança Pública. Secretaria Nacional de Políticas Penais. Relatório de Informações Penais: 19º ciclo SISDEPEN, julho a dezembro de 2025. Brasília, DF: SENAPPEN, 2026. Disponível em: </w:t>
      </w:r>
      <w:hyperlink r:id="rId7">
        <w:r>
          <w:rPr>
            <w:color w:val="0563C1"/>
            <w:sz w:val="24"/>
            <w:u w:val="single"/>
          </w:rPr>
          <w:t>https://www.gov.br/senappen/pt-br/servicos/sisdepen/relatorios/relatorios-de-informacoes-penitenciarias</w:t>
        </w:r>
      </w:hyperlink>
      <w:r>
        <w:rPr>
          <w:sz w:val="24"/>
        </w:rPr>
        <w:t>. Acesso em: 19 jul. 2026.</w:t>
      </w:r>
    </w:p>
    <w:p w14:paraId="352906F6" w14:textId="77777777" w:rsidR="00FA1AA6" w:rsidRDefault="00FA1AA6">
      <w:pPr>
        <w:spacing w:line="240" w:lineRule="auto"/>
      </w:pPr>
    </w:p>
    <w:p w14:paraId="1611DD42" w14:textId="77777777" w:rsidR="001D1133" w:rsidRDefault="00000000">
      <w:pPr>
        <w:spacing w:line="240" w:lineRule="auto"/>
        <w:rPr>
          <w:sz w:val="24"/>
        </w:rPr>
      </w:pPr>
      <w:r>
        <w:rPr>
          <w:sz w:val="24"/>
        </w:rPr>
        <w:t xml:space="preserve">CARNEIRO, Sueli. </w:t>
      </w:r>
      <w:r>
        <w:rPr>
          <w:i/>
          <w:sz w:val="24"/>
        </w:rPr>
        <w:t>Dispositivo de racialidade: a construção do outro como não ser como fundamento do ser.</w:t>
      </w:r>
      <w:r>
        <w:rPr>
          <w:sz w:val="24"/>
        </w:rPr>
        <w:t xml:space="preserve"> Rio de Janeiro: Zahar, 2023.</w:t>
      </w:r>
    </w:p>
    <w:p w14:paraId="5D035EA9" w14:textId="77777777" w:rsidR="00FA1AA6" w:rsidRDefault="00FA1AA6">
      <w:pPr>
        <w:spacing w:line="240" w:lineRule="auto"/>
      </w:pPr>
    </w:p>
    <w:p w14:paraId="4661F7D4" w14:textId="77777777" w:rsidR="001D1133" w:rsidRDefault="00000000">
      <w:pPr>
        <w:spacing w:line="240" w:lineRule="auto"/>
        <w:rPr>
          <w:sz w:val="24"/>
        </w:rPr>
      </w:pPr>
      <w:r>
        <w:rPr>
          <w:sz w:val="24"/>
        </w:rPr>
        <w:t xml:space="preserve">COELHO, Soraya de Oliveira; BRAGA, Eduardo dos Santos de Oliveira. Sujeitos em restrição e privação de liberdade e a Matemática: análise da produção acadêmica oriunda dos programas profissionais de pós-graduação stricto sensu da área de Ensino. </w:t>
      </w:r>
      <w:r>
        <w:rPr>
          <w:i/>
          <w:sz w:val="24"/>
        </w:rPr>
        <w:t>Trabalho &amp; Educação</w:t>
      </w:r>
      <w:r>
        <w:rPr>
          <w:sz w:val="24"/>
        </w:rPr>
        <w:t xml:space="preserve">, Belo Horizonte, v. 34, e57970, 2025. DOI: </w:t>
      </w:r>
      <w:hyperlink r:id="rId8">
        <w:r>
          <w:rPr>
            <w:color w:val="0563C1"/>
            <w:sz w:val="24"/>
            <w:u w:val="single"/>
          </w:rPr>
          <w:t>https://doi.org/10.35699/2238-037X.2025.57970</w:t>
        </w:r>
      </w:hyperlink>
      <w:r>
        <w:rPr>
          <w:sz w:val="24"/>
        </w:rPr>
        <w:t>.</w:t>
      </w:r>
    </w:p>
    <w:p w14:paraId="482033CF" w14:textId="77777777" w:rsidR="00FA1AA6" w:rsidRDefault="00FA1AA6">
      <w:pPr>
        <w:spacing w:line="240" w:lineRule="auto"/>
      </w:pPr>
    </w:p>
    <w:p w14:paraId="376D6B77" w14:textId="77777777" w:rsidR="001D1133" w:rsidRDefault="00000000">
      <w:pPr>
        <w:spacing w:line="240" w:lineRule="auto"/>
        <w:rPr>
          <w:sz w:val="24"/>
          <w:lang w:val="en-US"/>
        </w:rPr>
      </w:pPr>
      <w:r>
        <w:rPr>
          <w:sz w:val="24"/>
          <w:lang w:val="en-US"/>
        </w:rPr>
        <w:t xml:space="preserve">GAL, Iddo. Adults’ statistical literacy: meanings, components, responsibilities. </w:t>
      </w:r>
      <w:r>
        <w:rPr>
          <w:i/>
          <w:sz w:val="24"/>
          <w:lang w:val="en-US"/>
        </w:rPr>
        <w:t>International Statistical Review</w:t>
      </w:r>
      <w:r>
        <w:rPr>
          <w:sz w:val="24"/>
          <w:lang w:val="en-US"/>
        </w:rPr>
        <w:t xml:space="preserve">, v. 70, n. 1, p. 1-25, 2002. DOI: </w:t>
      </w:r>
      <w:hyperlink r:id="rId9">
        <w:r>
          <w:rPr>
            <w:color w:val="0563C1"/>
            <w:sz w:val="24"/>
            <w:u w:val="single"/>
            <w:lang w:val="en-US"/>
          </w:rPr>
          <w:t>https://doi.org/10.1111/j.1751-5823.2002.tb00336.x</w:t>
        </w:r>
      </w:hyperlink>
      <w:r>
        <w:rPr>
          <w:sz w:val="24"/>
          <w:lang w:val="en-US"/>
        </w:rPr>
        <w:t>.</w:t>
      </w:r>
    </w:p>
    <w:p w14:paraId="711E5E44" w14:textId="77777777" w:rsidR="00FA1AA6" w:rsidRDefault="00FA1AA6">
      <w:pPr>
        <w:spacing w:line="240" w:lineRule="auto"/>
        <w:rPr>
          <w:lang w:val="en-US"/>
        </w:rPr>
      </w:pPr>
    </w:p>
    <w:p w14:paraId="7BC079D6" w14:textId="77777777" w:rsidR="001D1133" w:rsidRDefault="00000000">
      <w:pPr>
        <w:spacing w:line="240" w:lineRule="auto"/>
        <w:rPr>
          <w:sz w:val="24"/>
        </w:rPr>
      </w:pPr>
      <w:r>
        <w:rPr>
          <w:sz w:val="24"/>
        </w:rPr>
        <w:t xml:space="preserve">ROSA, Maurício; POWELL, Arthur B. Cinema, Internet, Racismo e Mercado Financeiro: das denúncias coloniais à </w:t>
      </w:r>
      <w:proofErr w:type="spellStart"/>
      <w:r>
        <w:rPr>
          <w:sz w:val="24"/>
        </w:rPr>
        <w:t>héxis</w:t>
      </w:r>
      <w:proofErr w:type="spellEnd"/>
      <w:r>
        <w:rPr>
          <w:sz w:val="24"/>
        </w:rPr>
        <w:t xml:space="preserve"> política pela educação matemática. </w:t>
      </w:r>
      <w:r>
        <w:rPr>
          <w:i/>
          <w:sz w:val="24"/>
        </w:rPr>
        <w:t xml:space="preserve">Perspectivas da </w:t>
      </w:r>
      <w:r>
        <w:rPr>
          <w:i/>
          <w:sz w:val="24"/>
        </w:rPr>
        <w:lastRenderedPageBreak/>
        <w:t>Educação Matemática</w:t>
      </w:r>
      <w:r>
        <w:rPr>
          <w:sz w:val="24"/>
        </w:rPr>
        <w:t xml:space="preserve">, v. 17, n. 45, p. 1-25, 2024. DOI: </w:t>
      </w:r>
      <w:hyperlink r:id="rId10">
        <w:r>
          <w:rPr>
            <w:color w:val="0563C1"/>
            <w:sz w:val="24"/>
            <w:u w:val="single"/>
          </w:rPr>
          <w:t>https://doi.org/10.46312/pem.v17i45.19354</w:t>
        </w:r>
      </w:hyperlink>
      <w:r>
        <w:rPr>
          <w:sz w:val="24"/>
        </w:rPr>
        <w:t>.</w:t>
      </w:r>
    </w:p>
    <w:p w14:paraId="42B78B7E" w14:textId="77777777" w:rsidR="00FA1AA6" w:rsidRDefault="00FA1AA6">
      <w:pPr>
        <w:spacing w:line="240" w:lineRule="auto"/>
      </w:pPr>
    </w:p>
    <w:p w14:paraId="220EFD22" w14:textId="77777777" w:rsidR="001D1133" w:rsidRDefault="00000000">
      <w:pPr>
        <w:spacing w:line="240" w:lineRule="auto"/>
      </w:pPr>
      <w:r>
        <w:rPr>
          <w:sz w:val="24"/>
        </w:rPr>
        <w:t xml:space="preserve">SKOVSMOSE, Ole. </w:t>
      </w:r>
      <w:r>
        <w:rPr>
          <w:i/>
          <w:sz w:val="24"/>
        </w:rPr>
        <w:t>Educação Matemática Crítica: a questão da democracia.</w:t>
      </w:r>
      <w:r>
        <w:rPr>
          <w:sz w:val="24"/>
        </w:rPr>
        <w:t xml:space="preserve"> Campinas: Papirus, 2001.</w:t>
      </w:r>
    </w:p>
    <w:sectPr w:rsidR="001D1133">
      <w:headerReference w:type="default" r:id="rId11"/>
      <w:footerReference w:type="default" r:id="rId12"/>
      <w:headerReference w:type="first" r:id="rId13"/>
      <w:footerReference w:type="first" r:id="rId14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ECBF6" w14:textId="77777777" w:rsidR="00E85AED" w:rsidRDefault="00E85AED">
      <w:pPr>
        <w:spacing w:line="240" w:lineRule="auto"/>
      </w:pPr>
      <w:r>
        <w:separator/>
      </w:r>
    </w:p>
  </w:endnote>
  <w:endnote w:type="continuationSeparator" w:id="0">
    <w:p w14:paraId="370AE6A7" w14:textId="77777777" w:rsidR="00E85AED" w:rsidRDefault="00E85A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D1FDFE-D337-4E52-A3A1-8263A1B0FE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E2E409-E703-4734-839E-FD34C7A457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26F4B" w14:textId="77777777" w:rsidR="001D1133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4FAAD" w14:textId="77777777" w:rsidR="001D1133" w:rsidRDefault="001D11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BF5A6" w14:textId="77777777" w:rsidR="00E85AED" w:rsidRDefault="00E85AED">
      <w:pPr>
        <w:spacing w:line="240" w:lineRule="auto"/>
      </w:pPr>
      <w:r>
        <w:separator/>
      </w:r>
    </w:p>
  </w:footnote>
  <w:footnote w:type="continuationSeparator" w:id="0">
    <w:p w14:paraId="026F6946" w14:textId="77777777" w:rsidR="00E85AED" w:rsidRDefault="00E85A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E4E4B" w14:textId="77777777" w:rsidR="001D1133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48978B7" wp14:editId="28E8AEE4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18A3354" wp14:editId="2DDFD078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9E4DC4" w14:textId="77777777" w:rsidR="001D1133" w:rsidRDefault="001D1133">
    <w:pPr>
      <w:jc w:val="right"/>
    </w:pPr>
  </w:p>
  <w:p w14:paraId="7B1A2CB8" w14:textId="77777777" w:rsidR="001D1133" w:rsidRDefault="001D1133">
    <w:pPr>
      <w:jc w:val="right"/>
    </w:pPr>
  </w:p>
  <w:p w14:paraId="36328ADA" w14:textId="77777777" w:rsidR="001D1133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E4D52D9" wp14:editId="7770509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1F08" w14:textId="77777777" w:rsidR="001D1133" w:rsidRDefault="001D113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C97"/>
    <w:rsid w:val="001D1133"/>
    <w:rsid w:val="00211712"/>
    <w:rsid w:val="00223C97"/>
    <w:rsid w:val="00761300"/>
    <w:rsid w:val="00916821"/>
    <w:rsid w:val="00D62E15"/>
    <w:rsid w:val="00E85AED"/>
    <w:rsid w:val="00FA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82AB7"/>
  <w15:docId w15:val="{9EDBF489-8556-4C16-BFED-D6A3FB3B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FA1AA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1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5699/2238-037X.2025.57970" TargetMode="External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yperlink" Target="https://www.gov.br/senappen/pt-br/servicos/sisdepen/relatorios/relatorios-de-informacoes-penitenciarias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leis/2003/l10.639.htm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doi.org/10.46312/pem.v17i45.19354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1111/j.1751-5823.2002.tb00336.x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1295</Words>
  <Characters>6998</Characters>
  <Application>Microsoft Office Word</Application>
  <DocSecurity>0</DocSecurity>
  <Lines>58</Lines>
  <Paragraphs>16</Paragraphs>
  <ScaleCrop>false</ScaleCrop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corpo contado ao sujeito que conta</dc:title>
  <dc:subject/>
  <dc:creator>helena.martins@edu.se.df.gov.br</dc:creator>
  <cp:keywords/>
  <dc:description/>
  <cp:lastModifiedBy>helena.martins@edu.se.df.gov.br</cp:lastModifiedBy>
  <cp:revision>2</cp:revision>
  <dcterms:created xsi:type="dcterms:W3CDTF">2026-07-29T22:41:00Z</dcterms:created>
  <dcterms:modified xsi:type="dcterms:W3CDTF">2026-07-29T22:41:00Z</dcterms:modified>
</cp:coreProperties>
</file>