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EDUCAÇÃO E SABERES DO CAMPO, DAS ÁGUAS E DAS FLORESTAS: IMAGINAR-CONSTRUIR A ESCOLA A PARTIR DO POPULAR E DO PRÓPRIO</w:t>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Educação do Campo: nascendo no cotidiano, fortalecendo-se na comunidade e construindo-se nos territórios </w:t>
      </w:r>
    </w:p>
    <w:p w:rsidR="00000000" w:rsidDel="00000000" w:rsidP="00000000" w:rsidRDefault="00000000" w:rsidRPr="00000000" w14:paraId="0000000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Fernanda Richele Gomes da Cruz, Faculdade de Educação, Universidade de São Paulo (FEUSP/USP) , richele@usp.br</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Denise Carreira, Faculdade de Educação, Universidade de São Paulo (FEUSP/USP), </w:t>
      </w:r>
      <w:r w:rsidDel="00000000" w:rsidR="00000000" w:rsidRPr="00000000">
        <w:rPr>
          <w:sz w:val="24"/>
          <w:szCs w:val="24"/>
          <w:rtl w:val="0"/>
        </w:rPr>
        <w:t xml:space="preserve">denisecarreira@usp.br</w:t>
      </w:r>
      <w:r w:rsidDel="00000000" w:rsidR="00000000" w:rsidRPr="00000000">
        <w:rPr>
          <w:sz w:val="24"/>
          <w:szCs w:val="24"/>
          <w:rtl w:val="0"/>
        </w:rPr>
        <w:t xml:space="preserve"> </w:t>
      </w:r>
    </w:p>
    <w:p w:rsidR="00000000" w:rsidDel="00000000" w:rsidP="00000000" w:rsidRDefault="00000000" w:rsidRPr="00000000" w14:paraId="0000000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As discussões sobre a educação rural existem no Brasil desde a década de 1930, marcadas por uma perspectiva assistencialista voltada para a modernização agrícola. Nesse contexto, difundia-se a ideia de que o campo era um espaço de atraso e que a educação deveria promover o desenvolvimento urbano nesses territórios, e não fortalecer a permanência dos povos do campo em seus modos próprios de vida (Damasceno; Beserra, 2004).</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Em contraposição a essa lógica, a Educação do Campo surge como um movimento de ruptura com essa concepção de educação construída pela classe dominante para as áreas urbanas e posteriormente transferida para o campo sem contextualização. Defende-se uma proposta construída pelas trabalhadoras e pelos trabalhadores do campo, considerando suas singularidades, saberes e formas próprias de organização social.</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Diante disso, este texto tem como objetivo discutir a importância dos conceitos de vida cotidiana, comunidade e inclusão social para a construção da Educação do Campo, estabelecendo diálogos com Henri Lefebvre, por meio dos estudos de Barreira (2009), Zygmunt Bauman (2003) e Aldaíza Sposati (1999), utilizando o Parecer CNE/CEB nº 36/2001 como documento de análise.</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Segundo Barreira (2009), ao discutir a Crítica da Vida Cotidiana de Henri Lefebvre, a vida cotidiana não possui uma definição fixa, mas constitui o espaço em que se reproduzem as relações de alienação impostas pelo capitalismo e, simultaneamente, onde também se abrem possibilidades de emancipação e transformação social. Não se reduz ao simples dia a dia, mas corresponde às relações estabelecidas entre os sujeitos, o trabalho, a política e a sociedade, revelando seu caráter contraditório. Como afirma Barreira (2009), "por trás da miséria dos trabalhadores esconde-se uma autêntica capacidade produtiva e criadora".</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Compreende-se a vida cotidiana como a relação dialética entre os sujeitos e as relações sociais constituídas a partir do lugar que ocupam na sociedade. Pensar a Educação do Campo a partir da vida cotidiana significa compreender o campesinato para além das atividades produtivas, reconhecendo suas formas de organização social, experiências coletivas e relações com o trabalho, a política e o território.</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Outro conceito fundamental é o de comunidade. A partir das reflexões de Bauman (2003), compreende-se que a comunidade evoca confiança, solidariedade, acolhimento e proteção entre aqueles que dela fazem parte, sendo um espaço de apoio mútuo e segurança coletiva. Entretanto, o autor alerta que essa comunidade também pode representar um "paraíso perdido" ou um "paraíso ainda esperado", pois sua construção exige que os sujeitos abram mão de parte de sua liberdade individual em favor do coletivo.</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Nesse sentido, entende-se a comunidade como um espaço de reorganização da classe trabalhadora, capaz de fortalecer vínculos sociais, produzir saberes, acolher diferenças e construir formas coletivas de resistência. Na Educação do Campo, os processos educativos não se restringem ao espaço escolar, mas são produzidos nas relações entre famílias, movimentos sociais, trabalho, cultura e território.</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A discussão sobre inclusão social parte das contribuições de Sposati (1999), que compreende a exclusão como resultado das estruturas sociais produzidas pelo capitalismo. Para a autora, a exclusão é um conceito-denúncia, marcado pela perda de direitos, discriminação, ruptura de vínculos sociais e pelo não reconhecimento das diferenças. Assim, inclusão social não significa apenas incorporar grupos à sociedade, mas garantir direitos universais e reconhecimento da diversidade.</w:t>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Sposati (1999) destaca que, no Brasil, essa inclusão ocorre de forma seletiva, circunstancial e meritocrática, funcionando muitas vezes como concessão e não como direito assegurado. Essa compreensão permite problematizar a história da educação destinada às populações do campo, frequentemente construída para atender aos interesses econômicos do Estado e das elites agrárias.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A trajetória histórica apresentada pelo Parecer CNE/CEB nº 36/2001 evidencia que as primeiras iniciativas voltadas à educação rural estavam associadas à formação de trabalhadores úteis ao desenvolvimento econômico e ao controle do êxodo rural. A criação dos patronatos agrícolas reforça essa lógica ao defender a formação de crianças pobres para atender às necessidades produtivas do país.</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Essa perspectiva evidencia uma concepção limitada de inclusão social, pois o acesso à educação não estava vinculado ao reconhecimento dos sujeitos do campo como produtores de saberes e direitos, mas à adaptação às demandas do Estado e do capital. Conforme argumenta Sposati (1999), trata-se de uma inclusão seletiva, marcada mais pela concessão do que pela garantia de direitos.</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Ao mesmo tempo, o Parecer demonstra avanços ao reconhecer a necessidade de uma Educação do Campo vinculada às especificidades do campesinato. Ao defender que os projetos pedagógicos considerem a realidade local, os saberes produzidos no cotidiano, as memórias, a cultura, os movimentos sociais e o trabalho no campo, aproxima-se das categorias de vida cotidiana e comunidade discutidas neste trabalho.</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A análise desses conceitos permite compreender que a Educação do Campo não pode ser reduzida ao acesso à escola ou à adaptação dos currículos ao espaço rural. Ela se constitui nas relações cotidianas, experiências comunitárias e lutas sociais dos sujeitos do campo. A escola integra práticas educativas produzidas nos territórios, nos movimentos sociais, no trabalho, na cultura e nas formas de organização coletiva.</w:t>
      </w:r>
    </w:p>
    <w:p w:rsidR="00000000" w:rsidDel="00000000" w:rsidP="00000000" w:rsidRDefault="00000000" w:rsidRPr="00000000" w14:paraId="0000001A">
      <w:pPr>
        <w:spacing w:line="360" w:lineRule="auto"/>
        <w:jc w:val="both"/>
        <w:rPr>
          <w:sz w:val="26"/>
          <w:szCs w:val="26"/>
        </w:rPr>
      </w:pPr>
      <w:r w:rsidDel="00000000" w:rsidR="00000000" w:rsidRPr="00000000">
        <w:rPr>
          <w:sz w:val="24"/>
          <w:szCs w:val="24"/>
          <w:rtl w:val="0"/>
        </w:rPr>
        <w:t xml:space="preserve">Nesse sentido, vida cotidiana, comunidade e inclusão social constituem elementos fundamentais para compreender uma educação comprometida com a valorização dos saberes populares, a autonomia dos sujeitos e a efetivação de direitos. Embora o Parecer CNE/CEB nº 36/2001 representa um importante marco para a consolidação da Educação do Campo, a análise realizada evidencia que a construção de uma educação comprometida com os povos do campo depende do reconhecimento de seus modos próprios de viver, produzir conhecimentos e organizar coletivamente a vida. Assim, a Educação do Campo constitui um projeto que ultrapassa a escola e se articula às lutas pela justiça social, pelo reconhecimento dos territórios e pela valorização dos saberes construídos no cotidiano das comunidades.</w:t>
      </w:r>
      <w:r w:rsidDel="00000000" w:rsidR="00000000" w:rsidRPr="00000000">
        <w:rPr>
          <w:rtl w:val="0"/>
        </w:rPr>
      </w:r>
    </w:p>
    <w:p w:rsidR="00000000" w:rsidDel="00000000" w:rsidP="00000000" w:rsidRDefault="00000000" w:rsidRPr="00000000" w14:paraId="0000001B">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rtl w:val="0"/>
        </w:rPr>
        <w:t xml:space="preserve">Educação do Campo; Vida cotidiana; Comunidade; Inclusão social.</w:t>
      </w:r>
      <w:r w:rsidDel="00000000" w:rsidR="00000000" w:rsidRPr="00000000">
        <w:rPr>
          <w:rtl w:val="0"/>
        </w:rPr>
      </w:r>
    </w:p>
    <w:p w:rsidR="00000000" w:rsidDel="00000000" w:rsidP="00000000" w:rsidRDefault="00000000" w:rsidRPr="00000000" w14:paraId="0000001D">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F">
      <w:pPr>
        <w:keepLines w:val="1"/>
        <w:widowControl w:val="0"/>
        <w:spacing w:line="240" w:lineRule="auto"/>
        <w:jc w:val="both"/>
        <w:rPr>
          <w:color w:val="222222"/>
          <w:highlight w:val="white"/>
        </w:rPr>
      </w:pPr>
      <w:r w:rsidDel="00000000" w:rsidR="00000000" w:rsidRPr="00000000">
        <w:rPr>
          <w:rtl w:val="0"/>
        </w:rPr>
      </w:r>
    </w:p>
    <w:p w:rsidR="00000000" w:rsidDel="00000000" w:rsidP="00000000" w:rsidRDefault="00000000" w:rsidRPr="00000000" w14:paraId="00000020">
      <w:pPr>
        <w:spacing w:line="240" w:lineRule="auto"/>
        <w:jc w:val="both"/>
        <w:rPr>
          <w:color w:val="222222"/>
          <w:highlight w:val="white"/>
        </w:rPr>
      </w:pPr>
      <w:r w:rsidDel="00000000" w:rsidR="00000000" w:rsidRPr="00000000">
        <w:rPr>
          <w:color w:val="222222"/>
          <w:highlight w:val="white"/>
          <w:rtl w:val="0"/>
        </w:rPr>
        <w:t xml:space="preserve">BARREIRA, Marcos Rodrigues Alves et al. Henri Lefebvre: a crítica da vida cotidiana na experiência da modernidade. 2009. Disponível em: </w:t>
      </w:r>
      <w:hyperlink r:id="rId6">
        <w:r w:rsidDel="00000000" w:rsidR="00000000" w:rsidRPr="00000000">
          <w:rPr>
            <w:color w:val="1155cc"/>
            <w:highlight w:val="white"/>
            <w:u w:val="single"/>
            <w:rtl w:val="0"/>
          </w:rPr>
          <w:t xml:space="preserve">https://www.bdtd.uerj.br:8443/handle/1/15084</w:t>
        </w:r>
      </w:hyperlink>
      <w:r w:rsidDel="00000000" w:rsidR="00000000" w:rsidRPr="00000000">
        <w:rPr>
          <w:color w:val="222222"/>
          <w:highlight w:val="white"/>
          <w:rtl w:val="0"/>
        </w:rPr>
        <w:t xml:space="preserve">. Acesso em: 1 set. 2025</w:t>
      </w:r>
    </w:p>
    <w:p w:rsidR="00000000" w:rsidDel="00000000" w:rsidP="00000000" w:rsidRDefault="00000000" w:rsidRPr="00000000" w14:paraId="00000021">
      <w:pPr>
        <w:spacing w:line="240" w:lineRule="auto"/>
        <w:jc w:val="both"/>
        <w:rPr>
          <w:color w:val="1d2125"/>
          <w:highlight w:val="white"/>
        </w:rPr>
      </w:pPr>
      <w:r w:rsidDel="00000000" w:rsidR="00000000" w:rsidRPr="00000000">
        <w:rPr>
          <w:color w:val="1d2125"/>
          <w:highlight w:val="white"/>
          <w:rtl w:val="0"/>
        </w:rPr>
        <w:t xml:space="preserve">BAUMAN, Z. Comunidade: a busca por segurança no mundo atual. Tradução de Plínio Dentzien. Rio de Janeiro: Jorge Zahar Ed., 2003.</w:t>
      </w:r>
    </w:p>
    <w:p w:rsidR="00000000" w:rsidDel="00000000" w:rsidP="00000000" w:rsidRDefault="00000000" w:rsidRPr="00000000" w14:paraId="00000022">
      <w:pPr>
        <w:spacing w:line="240" w:lineRule="auto"/>
        <w:jc w:val="both"/>
        <w:rPr>
          <w:color w:val="1d2125"/>
          <w:highlight w:val="white"/>
        </w:rPr>
      </w:pPr>
      <w:r w:rsidDel="00000000" w:rsidR="00000000" w:rsidRPr="00000000">
        <w:rPr>
          <w:b w:val="1"/>
          <w:bCs w:val="1"/>
          <w:color w:val="222222"/>
          <w:highlight w:val="white"/>
          <w:rtl w:val="0"/>
        </w:rPr>
        <w:t xml:space="preserve">BRASIL. Conselho Nacional de Educação. Câmara de Educação Básica.</w:t>
      </w:r>
      <w:r w:rsidDel="00000000" w:rsidR="00000000" w:rsidRPr="00000000">
        <w:rPr>
          <w:color w:val="222222"/>
          <w:highlight w:val="white"/>
          <w:rtl w:val="0"/>
        </w:rPr>
        <w:t xml:space="preserve"> Parecer CNE/CEB nº 36/2001, de 4 de dezembro de 2001. Diretrizes Operacionais para a Educação Básica nas Escolas do Campo. Diário Oficial da União: seção 1, Brasília, DF, 2001. Disponível em: </w:t>
      </w:r>
      <w:hyperlink r:id="rId7">
        <w:r w:rsidDel="00000000" w:rsidR="00000000" w:rsidRPr="00000000">
          <w:rPr>
            <w:color w:val="1155cc"/>
            <w:highlight w:val="white"/>
            <w:u w:val="single"/>
            <w:rtl w:val="0"/>
          </w:rPr>
          <w:t xml:space="preserve">https://portal.mec.gov.br/cne/arquivos/pdf/EducCampo01.pdf</w:t>
        </w:r>
      </w:hyperlink>
      <w:r w:rsidDel="00000000" w:rsidR="00000000" w:rsidRPr="00000000">
        <w:rPr>
          <w:color w:val="222222"/>
          <w:highlight w:val="white"/>
          <w:rtl w:val="0"/>
        </w:rPr>
        <w:t xml:space="preserve">. Acesso em: 3 ago. 2025</w:t>
      </w:r>
      <w:r w:rsidDel="00000000" w:rsidR="00000000" w:rsidRPr="00000000">
        <w:rPr>
          <w:rtl w:val="0"/>
        </w:rPr>
      </w:r>
    </w:p>
    <w:p w:rsidR="00000000" w:rsidDel="00000000" w:rsidP="00000000" w:rsidRDefault="00000000" w:rsidRPr="00000000" w14:paraId="00000023">
      <w:pPr>
        <w:keepLines w:val="1"/>
        <w:widowControl w:val="0"/>
        <w:spacing w:line="240" w:lineRule="auto"/>
        <w:jc w:val="both"/>
        <w:rPr>
          <w:color w:val="222222"/>
          <w:highlight w:val="white"/>
        </w:rPr>
      </w:pPr>
      <w:r w:rsidDel="00000000" w:rsidR="00000000" w:rsidRPr="00000000">
        <w:rPr>
          <w:color w:val="222222"/>
          <w:highlight w:val="white"/>
          <w:rtl w:val="0"/>
        </w:rPr>
        <w:t xml:space="preserve">DAMASCENO, Maria Nobre; BESERRA, Bernadete. Estudos sobre educação rural no Brasil: estado da arte e perspectivas. </w:t>
      </w:r>
      <w:r w:rsidDel="00000000" w:rsidR="00000000" w:rsidRPr="00000000">
        <w:rPr>
          <w:b w:val="1"/>
          <w:bCs w:val="1"/>
          <w:color w:val="222222"/>
          <w:highlight w:val="white"/>
          <w:rtl w:val="0"/>
        </w:rPr>
        <w:t xml:space="preserve">Educação e pesquisa</w:t>
      </w:r>
      <w:r w:rsidDel="00000000" w:rsidR="00000000" w:rsidRPr="00000000">
        <w:rPr>
          <w:color w:val="222222"/>
          <w:highlight w:val="white"/>
          <w:rtl w:val="0"/>
        </w:rPr>
        <w:t xml:space="preserve">, v. 30, p. 73-89, 2004. Disponível em: </w:t>
      </w:r>
      <w:hyperlink r:id="rId8">
        <w:r w:rsidDel="00000000" w:rsidR="00000000" w:rsidRPr="00000000">
          <w:rPr>
            <w:color w:val="1155cc"/>
            <w:highlight w:val="white"/>
            <w:u w:val="single"/>
            <w:rtl w:val="0"/>
          </w:rPr>
          <w:t xml:space="preserve">https://revistas.usp.br/ep/article/view/27925/29697</w:t>
        </w:r>
      </w:hyperlink>
      <w:r w:rsidDel="00000000" w:rsidR="00000000" w:rsidRPr="00000000">
        <w:rPr>
          <w:color w:val="222222"/>
          <w:highlight w:val="white"/>
          <w:rtl w:val="0"/>
        </w:rPr>
        <w:t xml:space="preserve">. Acesso em: 20 ago. 2025.</w:t>
      </w:r>
    </w:p>
    <w:p w:rsidR="00000000" w:rsidDel="00000000" w:rsidP="00000000" w:rsidRDefault="00000000" w:rsidRPr="00000000" w14:paraId="00000024">
      <w:pPr>
        <w:spacing w:line="240" w:lineRule="auto"/>
        <w:jc w:val="both"/>
        <w:rPr>
          <w:color w:val="222222"/>
          <w:highlight w:val="white"/>
        </w:rPr>
      </w:pPr>
      <w:r w:rsidDel="00000000" w:rsidR="00000000" w:rsidRPr="00000000">
        <w:rPr>
          <w:color w:val="222222"/>
          <w:highlight w:val="white"/>
          <w:rtl w:val="0"/>
        </w:rPr>
        <w:t xml:space="preserve">SPOSATI, Aldaíza. Exclusão social abaixo da linha do Equador. </w:t>
      </w:r>
      <w:r w:rsidDel="00000000" w:rsidR="00000000" w:rsidRPr="00000000">
        <w:rPr>
          <w:b w:val="1"/>
          <w:bCs w:val="1"/>
          <w:color w:val="222222"/>
          <w:highlight w:val="white"/>
          <w:rtl w:val="0"/>
        </w:rPr>
        <w:t xml:space="preserve">Por uma sociologia da exclusão social: o debate com Serge Paugam. São Paulo: Educ</w:t>
      </w:r>
      <w:r w:rsidDel="00000000" w:rsidR="00000000" w:rsidRPr="00000000">
        <w:rPr>
          <w:color w:val="222222"/>
          <w:highlight w:val="white"/>
          <w:rtl w:val="0"/>
        </w:rPr>
        <w:t xml:space="preserve">, p. 128-133, 1999. </w:t>
      </w:r>
    </w:p>
    <w:p w:rsidR="00000000" w:rsidDel="00000000" w:rsidP="00000000" w:rsidRDefault="00000000" w:rsidRPr="00000000" w14:paraId="00000025">
      <w:pPr>
        <w:spacing w:line="240" w:lineRule="auto"/>
        <w:jc w:val="both"/>
        <w:rPr>
          <w:b w:val="1"/>
          <w:bCs w:val="1"/>
          <w:sz w:val="24"/>
          <w:szCs w:val="24"/>
        </w:rPr>
      </w:pPr>
      <w:r w:rsidDel="00000000" w:rsidR="00000000" w:rsidRPr="00000000">
        <w:rPr>
          <w:color w:val="222222"/>
          <w:highlight w:val="white"/>
          <w:rtl w:val="0"/>
        </w:rPr>
        <w:t xml:space="preserve">WANDERLEY, Maria de Nazareth Baudel. O campesinato brasileiro: uma história de resistência. </w:t>
      </w:r>
      <w:r w:rsidDel="00000000" w:rsidR="00000000" w:rsidRPr="00000000">
        <w:rPr>
          <w:b w:val="1"/>
          <w:bCs w:val="1"/>
          <w:color w:val="222222"/>
          <w:highlight w:val="white"/>
          <w:rtl w:val="0"/>
        </w:rPr>
        <w:t xml:space="preserve">Revista de economia e sociologia rural</w:t>
      </w:r>
      <w:r w:rsidDel="00000000" w:rsidR="00000000" w:rsidRPr="00000000">
        <w:rPr>
          <w:color w:val="222222"/>
          <w:highlight w:val="white"/>
          <w:rtl w:val="0"/>
        </w:rPr>
        <w:t xml:space="preserve">, v. 52, p. 25-44, 2014.</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7">
    <w:pPr>
      <w:jc w:val="right"/>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dtd.uerj.br:8443/handle/1/15084" TargetMode="External"/><Relationship Id="rId7" Type="http://schemas.openxmlformats.org/officeDocument/2006/relationships/hyperlink" Target="https://portal.mec.gov.br/cne/arquivos/pdf/EducCampo01.pdf" TargetMode="External"/><Relationship Id="rId8" Type="http://schemas.openxmlformats.org/officeDocument/2006/relationships/hyperlink" Target="https://revistas.usp.br/ep/article/view/27925/296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