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0505" w:rsidRPr="00A10EC8" w:rsidRDefault="00A10EC8" w:rsidP="00A10EC8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A10EC8">
        <w:rPr>
          <w:b/>
          <w:sz w:val="24"/>
          <w:szCs w:val="24"/>
        </w:rPr>
        <w:t xml:space="preserve">DECOLONIZAR E INTERCULTURALIZAR AS UNIVERSIDADES: AÇÕES AFIRMATIVAS, JUSTIÇA EPISTÊMICA E TRANSFORMAÇÃO DAS </w:t>
      </w:r>
      <w:proofErr w:type="gramStart"/>
      <w:r w:rsidRPr="00A10EC8">
        <w:rPr>
          <w:b/>
          <w:sz w:val="24"/>
          <w:szCs w:val="24"/>
        </w:rPr>
        <w:t>CIÊNCIAS</w:t>
      </w:r>
      <w:proofErr w:type="gramEnd"/>
    </w:p>
    <w:p w:rsidR="00F40505" w:rsidRDefault="00F40505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F40505" w:rsidRPr="00A10EC8" w:rsidRDefault="00A10EC8" w:rsidP="00A10EC8">
      <w:pPr>
        <w:pStyle w:val="Ttulo1"/>
        <w:shd w:val="clear" w:color="auto" w:fill="FFFFFF"/>
        <w:spacing w:before="480" w:after="240"/>
        <w:jc w:val="center"/>
        <w:rPr>
          <w:b/>
          <w:color w:val="0F1115"/>
          <w:sz w:val="24"/>
          <w:szCs w:val="24"/>
        </w:rPr>
      </w:pPr>
      <w:r w:rsidRPr="00A10EC8">
        <w:rPr>
          <w:b/>
          <w:color w:val="0F1115"/>
          <w:sz w:val="24"/>
          <w:szCs w:val="24"/>
        </w:rPr>
        <w:t xml:space="preserve">Duas camadas metodológicas: contaminação semiótica, polvilhamento e encruzilhada entre o tipiti e o bronze de </w:t>
      </w:r>
      <w:proofErr w:type="gramStart"/>
      <w:r w:rsidRPr="00A10EC8">
        <w:rPr>
          <w:b/>
          <w:color w:val="0F1115"/>
          <w:sz w:val="24"/>
          <w:szCs w:val="24"/>
        </w:rPr>
        <w:t>Ceschiatti</w:t>
      </w:r>
      <w:proofErr w:type="gramEnd"/>
    </w:p>
    <w:p w:rsidR="00F40505" w:rsidRDefault="00F40505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F40505" w:rsidRDefault="00A10EC8" w:rsidP="00A10EC8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João Balbino Silva, Universidade de Brasília- UnB, </w:t>
      </w:r>
      <w:proofErr w:type="gramStart"/>
      <w:r>
        <w:rPr>
          <w:sz w:val="24"/>
          <w:szCs w:val="24"/>
        </w:rPr>
        <w:t>joaoquarto@hotmail.com</w:t>
      </w:r>
      <w:proofErr w:type="gramEnd"/>
    </w:p>
    <w:p w:rsidR="00F40505" w:rsidRDefault="00F40505">
      <w:pPr>
        <w:keepLines/>
        <w:widowControl w:val="0"/>
        <w:spacing w:line="240" w:lineRule="auto"/>
        <w:rPr>
          <w:sz w:val="24"/>
          <w:szCs w:val="24"/>
        </w:rPr>
      </w:pPr>
    </w:p>
    <w:p w:rsidR="00F40505" w:rsidRDefault="00F40505">
      <w:pPr>
        <w:keepLines/>
        <w:widowControl w:val="0"/>
        <w:spacing w:line="240" w:lineRule="auto"/>
        <w:rPr>
          <w:sz w:val="24"/>
          <w:szCs w:val="24"/>
        </w:rPr>
      </w:pPr>
    </w:p>
    <w:p w:rsidR="00F40505" w:rsidRDefault="00F40505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F40505" w:rsidRDefault="00DC530E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:rsidR="00F40505" w:rsidRDefault="00B62A9B" w:rsidP="00A10EC8">
      <w:pPr>
        <w:keepLines/>
        <w:widowControl w:val="0"/>
        <w:spacing w:line="360" w:lineRule="auto"/>
        <w:jc w:val="both"/>
        <w:rPr>
          <w:color w:val="0F1115"/>
          <w:sz w:val="24"/>
          <w:szCs w:val="24"/>
          <w:shd w:val="clear" w:color="auto" w:fill="FFFFFF"/>
        </w:rPr>
      </w:pPr>
      <w:r>
        <w:rPr>
          <w:color w:val="0F1115"/>
          <w:sz w:val="24"/>
          <w:szCs w:val="24"/>
          <w:shd w:val="clear" w:color="auto" w:fill="FFFFFF"/>
        </w:rPr>
        <w:t>Esta pesquisa,</w:t>
      </w:r>
      <w:r w:rsidR="00A10EC8" w:rsidRPr="00A10EC8">
        <w:rPr>
          <w:color w:val="0F1115"/>
          <w:sz w:val="24"/>
          <w:szCs w:val="24"/>
          <w:shd w:val="clear" w:color="auto" w:fill="FFFFFF"/>
        </w:rPr>
        <w:t xml:space="preserve"> no âmbito do doutorado em Linguís</w:t>
      </w:r>
      <w:r>
        <w:rPr>
          <w:color w:val="0F1115"/>
          <w:sz w:val="24"/>
          <w:szCs w:val="24"/>
          <w:shd w:val="clear" w:color="auto" w:fill="FFFFFF"/>
        </w:rPr>
        <w:t>tica na Un</w:t>
      </w:r>
      <w:r w:rsidR="00D7630B">
        <w:rPr>
          <w:color w:val="0F1115"/>
          <w:sz w:val="24"/>
          <w:szCs w:val="24"/>
          <w:shd w:val="clear" w:color="auto" w:fill="FFFFFF"/>
        </w:rPr>
        <w:t>B</w:t>
      </w:r>
      <w:r w:rsidR="00A10EC8" w:rsidRPr="00A10EC8">
        <w:rPr>
          <w:color w:val="0F1115"/>
          <w:sz w:val="24"/>
          <w:szCs w:val="24"/>
          <w:shd w:val="clear" w:color="auto" w:fill="FFFFFF"/>
        </w:rPr>
        <w:t>, propõe uma abordagem metodológica que assume como gesto fundante a explicitação do lugar de onde se fala — não como preâmbulo biográfico, mas como chave de leitura para o que se segue. O memorial que abre a tese, com suas palavras inventadas (</w:t>
      </w:r>
      <w:r w:rsidR="00A10EC8" w:rsidRPr="00A10EC8">
        <w:rPr>
          <w:rStyle w:val="nfase"/>
          <w:color w:val="0F1115"/>
          <w:sz w:val="24"/>
          <w:szCs w:val="24"/>
          <w:shd w:val="clear" w:color="auto" w:fill="FFFFFF"/>
        </w:rPr>
        <w:t>selegreto</w:t>
      </w:r>
      <w:r w:rsidR="00A10EC8" w:rsidRPr="00A10EC8">
        <w:rPr>
          <w:color w:val="0F1115"/>
          <w:sz w:val="24"/>
          <w:szCs w:val="24"/>
          <w:shd w:val="clear" w:color="auto" w:fill="FFFFFF"/>
        </w:rPr>
        <w:t>,</w:t>
      </w:r>
      <w:r w:rsidR="00D44B9D">
        <w:rPr>
          <w:color w:val="0F1115"/>
          <w:sz w:val="24"/>
          <w:szCs w:val="24"/>
          <w:shd w:val="clear" w:color="auto" w:fill="FFFFFF"/>
        </w:rPr>
        <w:t xml:space="preserve"> </w:t>
      </w:r>
      <w:r w:rsidR="00A10EC8" w:rsidRPr="00A10EC8">
        <w:rPr>
          <w:rStyle w:val="nfase"/>
          <w:color w:val="0F1115"/>
          <w:sz w:val="24"/>
          <w:szCs w:val="24"/>
          <w:shd w:val="clear" w:color="auto" w:fill="FFFFFF"/>
        </w:rPr>
        <w:t>bernabete</w:t>
      </w:r>
      <w:r w:rsidR="00A10EC8" w:rsidRPr="00A10EC8">
        <w:rPr>
          <w:color w:val="0F1115"/>
          <w:sz w:val="24"/>
          <w:szCs w:val="24"/>
          <w:shd w:val="clear" w:color="auto" w:fill="FFFFFF"/>
        </w:rPr>
        <w:t>,</w:t>
      </w:r>
      <w:r w:rsidR="00D44B9D">
        <w:rPr>
          <w:color w:val="0F1115"/>
          <w:sz w:val="24"/>
          <w:szCs w:val="24"/>
          <w:shd w:val="clear" w:color="auto" w:fill="FFFFFF"/>
        </w:rPr>
        <w:t xml:space="preserve"> </w:t>
      </w:r>
      <w:r w:rsidR="00A10EC8" w:rsidRPr="00A10EC8">
        <w:rPr>
          <w:rStyle w:val="nfase"/>
          <w:color w:val="0F1115"/>
          <w:sz w:val="24"/>
          <w:szCs w:val="24"/>
          <w:shd w:val="clear" w:color="auto" w:fill="FFFFFF"/>
        </w:rPr>
        <w:t xml:space="preserve">mulher </w:t>
      </w:r>
      <w:proofErr w:type="spellStart"/>
      <w:r w:rsidR="00A10EC8" w:rsidRPr="00A10EC8">
        <w:rPr>
          <w:rStyle w:val="nfase"/>
          <w:color w:val="0F1115"/>
          <w:sz w:val="24"/>
          <w:szCs w:val="24"/>
          <w:shd w:val="clear" w:color="auto" w:fill="FFFFFF"/>
        </w:rPr>
        <w:t>debarada</w:t>
      </w:r>
      <w:proofErr w:type="spellEnd"/>
      <w:r w:rsidR="00A10EC8" w:rsidRPr="00A10EC8">
        <w:rPr>
          <w:color w:val="0F1115"/>
          <w:sz w:val="24"/>
          <w:szCs w:val="24"/>
          <w:shd w:val="clear" w:color="auto" w:fill="FFFFFF"/>
        </w:rPr>
        <w:t>), suas histórias de</w:t>
      </w:r>
      <w:r w:rsidR="00D44B9D">
        <w:rPr>
          <w:color w:val="0F1115"/>
          <w:sz w:val="24"/>
          <w:szCs w:val="24"/>
          <w:shd w:val="clear" w:color="auto" w:fill="FFFFFF"/>
        </w:rPr>
        <w:t xml:space="preserve"> </w:t>
      </w:r>
      <w:r w:rsidR="003771FC">
        <w:rPr>
          <w:rStyle w:val="nfase"/>
          <w:i w:val="0"/>
          <w:color w:val="0F1115"/>
          <w:sz w:val="24"/>
          <w:szCs w:val="24"/>
          <w:shd w:val="clear" w:color="auto" w:fill="FFFFFF"/>
        </w:rPr>
        <w:t>li</w:t>
      </w:r>
      <w:r w:rsidR="00A10EC8" w:rsidRPr="00D44B9D">
        <w:rPr>
          <w:rStyle w:val="nfase"/>
          <w:i w:val="0"/>
          <w:color w:val="0F1115"/>
          <w:sz w:val="24"/>
          <w:szCs w:val="24"/>
          <w:shd w:val="clear" w:color="auto" w:fill="FFFFFF"/>
        </w:rPr>
        <w:t>vusia</w:t>
      </w:r>
      <w:r w:rsidR="00236F69">
        <w:rPr>
          <w:rStyle w:val="nfase"/>
          <w:i w:val="0"/>
          <w:color w:val="0F1115"/>
          <w:sz w:val="24"/>
          <w:szCs w:val="24"/>
          <w:shd w:val="clear" w:color="auto" w:fill="FFFFFF"/>
        </w:rPr>
        <w:t>, da cara de réu</w:t>
      </w:r>
      <w:r w:rsidR="00A10EC8" w:rsidRPr="00A10EC8">
        <w:rPr>
          <w:color w:val="0F1115"/>
          <w:sz w:val="24"/>
          <w:szCs w:val="24"/>
          <w:shd w:val="clear" w:color="auto" w:fill="FFFFFF"/>
        </w:rPr>
        <w:t xml:space="preserve">, suas sunsumberas e seu tuntum materno, não é desvio afetivo, mas a própria matéria-prima do método: ali estão </w:t>
      </w:r>
      <w:proofErr w:type="gramStart"/>
      <w:r w:rsidR="00A10EC8" w:rsidRPr="00A10EC8">
        <w:rPr>
          <w:color w:val="0F1115"/>
          <w:sz w:val="24"/>
          <w:szCs w:val="24"/>
          <w:shd w:val="clear" w:color="auto" w:fill="FFFFFF"/>
        </w:rPr>
        <w:t>as</w:t>
      </w:r>
      <w:proofErr w:type="gramEnd"/>
      <w:r w:rsidR="00A10EC8" w:rsidRPr="00A10EC8">
        <w:rPr>
          <w:color w:val="0F1115"/>
          <w:sz w:val="24"/>
          <w:szCs w:val="24"/>
          <w:shd w:val="clear" w:color="auto" w:fill="FFFFFF"/>
        </w:rPr>
        <w:t xml:space="preserve"> primeiras aulas de semiótica, aprendidas antes de qualquer teoria, no chão da cozinha, na prensagem do tipiti e na fala de quem ensinou a ler gestos, silêncios, cores e texturas como textos de poder. Antes de oferecer ferramentas, este resumo é um convite à travessia — à leitura da tese como um todo, onde cada conceito é menos uma resposta do que uma pergunta em movimento.</w:t>
      </w:r>
    </w:p>
    <w:p w:rsidR="00A10EC8" w:rsidRDefault="00A10EC8" w:rsidP="00A10EC8">
      <w:pPr>
        <w:keepLines/>
        <w:widowControl w:val="0"/>
        <w:spacing w:line="360" w:lineRule="auto"/>
        <w:jc w:val="both"/>
        <w:rPr>
          <w:color w:val="0F1115"/>
          <w:sz w:val="24"/>
          <w:szCs w:val="24"/>
          <w:shd w:val="clear" w:color="auto" w:fill="FFFFFF"/>
        </w:rPr>
      </w:pPr>
      <w:r w:rsidRPr="00A10EC8">
        <w:rPr>
          <w:color w:val="0F1115"/>
          <w:sz w:val="24"/>
          <w:szCs w:val="24"/>
          <w:shd w:val="clear" w:color="auto" w:fill="FFFFFF"/>
        </w:rPr>
        <w:t xml:space="preserve">A metodologia aqui delineada recusa o manual de procedimentos. Inspira-se no "mundo </w:t>
      </w:r>
      <w:proofErr w:type="spellStart"/>
      <w:r w:rsidRPr="00A10EC8">
        <w:rPr>
          <w:color w:val="0F1115"/>
          <w:sz w:val="24"/>
          <w:szCs w:val="24"/>
          <w:shd w:val="clear" w:color="auto" w:fill="FFFFFF"/>
        </w:rPr>
        <w:t>zurdo</w:t>
      </w:r>
      <w:proofErr w:type="spellEnd"/>
      <w:r w:rsidRPr="00A10EC8">
        <w:rPr>
          <w:color w:val="0F1115"/>
          <w:sz w:val="24"/>
          <w:szCs w:val="24"/>
          <w:shd w:val="clear" w:color="auto" w:fill="FFFFFF"/>
        </w:rPr>
        <w:t>" de Gloria Anzaldúa (1987) — espaço epistêmico de quem forja conhecimento a partir da margem, da interseccionalidade e de uma desobediência criativa aos cânones únicos — e organiza-se como cartografia sensível que elege três pontos de triangulação — gênero feminino, multimodalidade e discursos de poder — para analisar o conjunto escultórico de Alfredo Ceschiatti integrado a espaços de poder de Bras</w:t>
      </w:r>
      <w:r w:rsidR="00D7630B">
        <w:rPr>
          <w:color w:val="0F1115"/>
          <w:sz w:val="24"/>
          <w:szCs w:val="24"/>
          <w:shd w:val="clear" w:color="auto" w:fill="FFFFFF"/>
        </w:rPr>
        <w:t>ília (Biblioteca Central da UnB;</w:t>
      </w:r>
      <w:r w:rsidRPr="00A10EC8">
        <w:rPr>
          <w:color w:val="0F1115"/>
          <w:sz w:val="24"/>
          <w:szCs w:val="24"/>
          <w:shd w:val="clear" w:color="auto" w:fill="FFFFFF"/>
        </w:rPr>
        <w:t xml:space="preserve"> Palácio </w:t>
      </w:r>
      <w:r w:rsidR="00D7630B">
        <w:rPr>
          <w:color w:val="0F1115"/>
          <w:sz w:val="24"/>
          <w:szCs w:val="24"/>
          <w:shd w:val="clear" w:color="auto" w:fill="FFFFFF"/>
        </w:rPr>
        <w:t>do Itamaraty; Teatro Nacional</w:t>
      </w:r>
      <w:r w:rsidRPr="00A10EC8">
        <w:rPr>
          <w:color w:val="0F1115"/>
          <w:sz w:val="24"/>
          <w:szCs w:val="24"/>
          <w:shd w:val="clear" w:color="auto" w:fill="FFFFFF"/>
        </w:rPr>
        <w:t xml:space="preserve">). O percurso é rizomático (Deleuze e </w:t>
      </w:r>
      <w:proofErr w:type="spellStart"/>
      <w:r w:rsidRPr="00A10EC8">
        <w:rPr>
          <w:color w:val="0F1115"/>
          <w:sz w:val="24"/>
          <w:szCs w:val="24"/>
          <w:shd w:val="clear" w:color="auto" w:fill="FFFFFF"/>
        </w:rPr>
        <w:t>Guattari</w:t>
      </w:r>
      <w:proofErr w:type="spellEnd"/>
      <w:r w:rsidRPr="00A10EC8">
        <w:rPr>
          <w:color w:val="0F1115"/>
          <w:sz w:val="24"/>
          <w:szCs w:val="24"/>
          <w:shd w:val="clear" w:color="auto" w:fill="FFFFFF"/>
        </w:rPr>
        <w:t>, 2000), valorizando alianças e conexões transversais entre semiótica, análise crítica do discurso e estudos decoloniais</w:t>
      </w:r>
      <w:r>
        <w:rPr>
          <w:color w:val="0F1115"/>
          <w:sz w:val="24"/>
          <w:szCs w:val="24"/>
          <w:shd w:val="clear" w:color="auto" w:fill="FFFFFF"/>
        </w:rPr>
        <w:t>.</w:t>
      </w:r>
    </w:p>
    <w:p w:rsidR="00A10EC8" w:rsidRDefault="00A10EC8" w:rsidP="00A10EC8">
      <w:pPr>
        <w:keepLines/>
        <w:widowControl w:val="0"/>
        <w:spacing w:line="360" w:lineRule="auto"/>
        <w:jc w:val="both"/>
        <w:rPr>
          <w:color w:val="0F1115"/>
          <w:sz w:val="24"/>
          <w:szCs w:val="24"/>
          <w:shd w:val="clear" w:color="auto" w:fill="FFFFFF"/>
        </w:rPr>
      </w:pPr>
      <w:r w:rsidRPr="00A10EC8">
        <w:rPr>
          <w:color w:val="0F1115"/>
          <w:sz w:val="24"/>
          <w:szCs w:val="24"/>
          <w:shd w:val="clear" w:color="auto" w:fill="FFFFFF"/>
        </w:rPr>
        <w:lastRenderedPageBreak/>
        <w:t>Esta proposta articula-se em duas camadas metodológicas que se comunicam e se retroalimentam. A primeira — a metodologia da tese propriamente dita — organiza o percurso investigativo como um todo, metaforizado por contos infanto-juvenis (</w:t>
      </w:r>
      <w:r w:rsidRPr="00A10EC8">
        <w:rPr>
          <w:rStyle w:val="nfase"/>
          <w:color w:val="0F1115"/>
          <w:sz w:val="24"/>
          <w:szCs w:val="24"/>
          <w:shd w:val="clear" w:color="auto" w:fill="FFFFFF"/>
        </w:rPr>
        <w:t>Chapeuzinho Vermelho</w:t>
      </w:r>
      <w:r w:rsidRPr="00A10EC8">
        <w:rPr>
          <w:color w:val="0F1115"/>
          <w:sz w:val="24"/>
          <w:szCs w:val="24"/>
          <w:shd w:val="clear" w:color="auto" w:fill="FFFFFF"/>
        </w:rPr>
        <w:t>,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A10EC8">
        <w:rPr>
          <w:rStyle w:val="nfase"/>
          <w:color w:val="0F1115"/>
          <w:sz w:val="24"/>
          <w:szCs w:val="24"/>
          <w:shd w:val="clear" w:color="auto" w:fill="FFFFFF"/>
        </w:rPr>
        <w:t>João e Maria</w:t>
      </w:r>
      <w:r w:rsidRPr="00A10EC8">
        <w:rPr>
          <w:color w:val="0F1115"/>
          <w:sz w:val="24"/>
          <w:szCs w:val="24"/>
          <w:shd w:val="clear" w:color="auto" w:fill="FFFFFF"/>
        </w:rPr>
        <w:t>,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A10EC8">
        <w:rPr>
          <w:rStyle w:val="nfase"/>
          <w:color w:val="0F1115"/>
          <w:sz w:val="24"/>
          <w:szCs w:val="24"/>
          <w:shd w:val="clear" w:color="auto" w:fill="FFFFFF"/>
        </w:rPr>
        <w:t>Alice no País do Espelho</w:t>
      </w:r>
      <w:r w:rsidRPr="00A10EC8">
        <w:rPr>
          <w:color w:val="0F1115"/>
          <w:sz w:val="24"/>
          <w:szCs w:val="24"/>
          <w:shd w:val="clear" w:color="auto" w:fill="FFFFFF"/>
        </w:rPr>
        <w:t>): as pedras brilhantes de João ensinam que a escolha metodológica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="00AA6600" w:rsidRPr="00AA6600">
        <w:rPr>
          <w:rStyle w:val="nfase"/>
          <w:i w:val="0"/>
          <w:color w:val="0F1115"/>
          <w:sz w:val="24"/>
          <w:szCs w:val="24"/>
          <w:shd w:val="clear" w:color="auto" w:fill="FFFFFF"/>
        </w:rPr>
        <w:t>deve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A10EC8">
        <w:rPr>
          <w:color w:val="0F1115"/>
          <w:sz w:val="24"/>
          <w:szCs w:val="24"/>
          <w:shd w:val="clear" w:color="auto" w:fill="FFFFFF"/>
        </w:rPr>
        <w:t>ser sólida; o diálogo de Alice com o Gato ensina que o problema de pesquisa é a bússola do trajeto; a floresta do esquecimento onde Alice perde o próprio nome ensina que o</w:t>
      </w:r>
      <w:r w:rsidR="00D7630B">
        <w:rPr>
          <w:color w:val="0F1115"/>
          <w:sz w:val="24"/>
          <w:szCs w:val="24"/>
          <w:shd w:val="clear" w:color="auto" w:fill="FFFFFF"/>
        </w:rPr>
        <w:t xml:space="preserve"> </w:t>
      </w:r>
      <w:r w:rsidRPr="00A10EC8">
        <w:rPr>
          <w:color w:val="0F1115"/>
          <w:sz w:val="24"/>
          <w:szCs w:val="24"/>
          <w:shd w:val="clear" w:color="auto" w:fill="FFFFFF"/>
        </w:rPr>
        <w:t xml:space="preserve">(a) </w:t>
      </w:r>
      <w:proofErr w:type="gramStart"/>
      <w:r w:rsidRPr="00A10EC8">
        <w:rPr>
          <w:color w:val="0F1115"/>
          <w:sz w:val="24"/>
          <w:szCs w:val="24"/>
          <w:shd w:val="clear" w:color="auto" w:fill="FFFFFF"/>
        </w:rPr>
        <w:t>pesquisador(</w:t>
      </w:r>
      <w:proofErr w:type="gramEnd"/>
      <w:r w:rsidRPr="00A10EC8">
        <w:rPr>
          <w:color w:val="0F1115"/>
          <w:sz w:val="24"/>
          <w:szCs w:val="24"/>
          <w:shd w:val="clear" w:color="auto" w:fill="FFFFFF"/>
        </w:rPr>
        <w:t>a)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A10EC8">
        <w:rPr>
          <w:rStyle w:val="nfase"/>
          <w:color w:val="0F1115"/>
          <w:sz w:val="24"/>
          <w:szCs w:val="24"/>
          <w:shd w:val="clear" w:color="auto" w:fill="FFFFFF"/>
        </w:rPr>
        <w:t>pode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A10EC8">
        <w:rPr>
          <w:color w:val="0F1115"/>
          <w:sz w:val="24"/>
          <w:szCs w:val="24"/>
          <w:shd w:val="clear" w:color="auto" w:fill="FFFFFF"/>
        </w:rPr>
        <w:t>suspender categorias consolidadas e negociar novos pactos de nomeação — processo que Landowski (2014) denomina ajustamento. A essa camada per</w:t>
      </w:r>
      <w:r w:rsidR="00AC5889">
        <w:rPr>
          <w:color w:val="0F1115"/>
          <w:sz w:val="24"/>
          <w:szCs w:val="24"/>
          <w:shd w:val="clear" w:color="auto" w:fill="FFFFFF"/>
        </w:rPr>
        <w:t>tencem também a multimodalidade (Le</w:t>
      </w:r>
      <w:r w:rsidR="001478E0">
        <w:rPr>
          <w:color w:val="0F1115"/>
          <w:sz w:val="24"/>
          <w:szCs w:val="24"/>
          <w:shd w:val="clear" w:color="auto" w:fill="FFFFFF"/>
        </w:rPr>
        <w:t>euw</w:t>
      </w:r>
      <w:r w:rsidR="00AC5889">
        <w:rPr>
          <w:color w:val="0F1115"/>
          <w:sz w:val="24"/>
          <w:szCs w:val="24"/>
          <w:shd w:val="clear" w:color="auto" w:fill="FFFFFF"/>
        </w:rPr>
        <w:t xml:space="preserve">en, 2022) </w:t>
      </w:r>
      <w:r w:rsidRPr="00A10EC8">
        <w:rPr>
          <w:color w:val="0F1115"/>
          <w:sz w:val="24"/>
          <w:szCs w:val="24"/>
          <w:shd w:val="clear" w:color="auto" w:fill="FFFFFF"/>
        </w:rPr>
        <w:t>como lente ampliada de percepção e a escolha interseccional por um olhar que articula raça, classe e gênero (Akotirene, 2018).</w:t>
      </w:r>
    </w:p>
    <w:p w:rsidR="004F0FDD" w:rsidRDefault="004F0FDD" w:rsidP="00A10EC8">
      <w:pPr>
        <w:keepLines/>
        <w:widowControl w:val="0"/>
        <w:spacing w:line="360" w:lineRule="auto"/>
        <w:jc w:val="both"/>
        <w:rPr>
          <w:color w:val="0F1115"/>
          <w:sz w:val="24"/>
          <w:szCs w:val="24"/>
          <w:shd w:val="clear" w:color="auto" w:fill="FFFFFF"/>
        </w:rPr>
      </w:pPr>
      <w:r w:rsidRPr="004F0FDD">
        <w:rPr>
          <w:color w:val="0F1115"/>
          <w:sz w:val="24"/>
          <w:szCs w:val="24"/>
          <w:shd w:val="clear" w:color="auto" w:fill="FFFFFF"/>
        </w:rPr>
        <w:t>A segunda camada metodológica — a metodologia do capítulo teórico, ou arsenal conceitual — opera por um gesto distinto: trat</w:t>
      </w:r>
      <w:r w:rsidR="00E01242">
        <w:rPr>
          <w:color w:val="0F1115"/>
          <w:sz w:val="24"/>
          <w:szCs w:val="24"/>
          <w:shd w:val="clear" w:color="auto" w:fill="FFFFFF"/>
        </w:rPr>
        <w:t xml:space="preserve">a-se de um capítulo </w:t>
      </w:r>
      <w:r w:rsidR="00E66CD2">
        <w:rPr>
          <w:color w:val="0F1115"/>
          <w:sz w:val="24"/>
          <w:szCs w:val="24"/>
          <w:shd w:val="clear" w:color="auto" w:fill="FFFFFF"/>
        </w:rPr>
        <w:t>“</w:t>
      </w:r>
      <w:r w:rsidR="00E01242" w:rsidRPr="00E66CD2">
        <w:rPr>
          <w:color w:val="0F1115"/>
          <w:sz w:val="24"/>
          <w:szCs w:val="24"/>
          <w:shd w:val="clear" w:color="auto" w:fill="FFFFFF"/>
        </w:rPr>
        <w:t>introdutório</w:t>
      </w:r>
      <w:r w:rsidR="00E66CD2">
        <w:rPr>
          <w:color w:val="0F1115"/>
          <w:sz w:val="24"/>
          <w:szCs w:val="24"/>
          <w:shd w:val="clear" w:color="auto" w:fill="FFFFFF"/>
        </w:rPr>
        <w:t>”</w:t>
      </w:r>
      <w:bookmarkStart w:id="0" w:name="_GoBack"/>
      <w:bookmarkEnd w:id="0"/>
      <w:r w:rsidRPr="004F0FDD">
        <w:rPr>
          <w:color w:val="0F1115"/>
          <w:sz w:val="24"/>
          <w:szCs w:val="24"/>
          <w:shd w:val="clear" w:color="auto" w:fill="FFFFFF"/>
        </w:rPr>
        <w:t xml:space="preserve"> em que os conceitos não são meramente apresentados, mas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E01242">
        <w:rPr>
          <w:rStyle w:val="nfase"/>
          <w:i w:val="0"/>
          <w:color w:val="0F1115"/>
          <w:sz w:val="24"/>
          <w:szCs w:val="24"/>
          <w:shd w:val="clear" w:color="auto" w:fill="FFFFFF"/>
        </w:rPr>
        <w:t>imediatamente aplicados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>a obras de diversos gêneros artísticos — pintura, escultura, música, ópera. O objetivo não é exaurir a análise dessas obras, mas catalisar o estudo de outras. Cada conceito é mobilizado como ferramenta viva: a geografia do poder e a gramática visual da ideologia em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rStyle w:val="nfase"/>
          <w:color w:val="0F1115"/>
          <w:sz w:val="24"/>
          <w:szCs w:val="24"/>
          <w:shd w:val="clear" w:color="auto" w:fill="FFFFFF"/>
        </w:rPr>
        <w:t>O Casal Arnolfini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 xml:space="preserve">(van </w:t>
      </w:r>
      <w:proofErr w:type="spellStart"/>
      <w:r w:rsidRPr="004F0FDD">
        <w:rPr>
          <w:color w:val="0F1115"/>
          <w:sz w:val="24"/>
          <w:szCs w:val="24"/>
          <w:shd w:val="clear" w:color="auto" w:fill="FFFFFF"/>
        </w:rPr>
        <w:t>Eyck</w:t>
      </w:r>
      <w:proofErr w:type="spellEnd"/>
      <w:r w:rsidRPr="004F0FDD">
        <w:rPr>
          <w:color w:val="0F1115"/>
          <w:sz w:val="24"/>
          <w:szCs w:val="24"/>
          <w:shd w:val="clear" w:color="auto" w:fill="FFFFFF"/>
        </w:rPr>
        <w:t>, 1434); a instabilidade do signo e a figurativização em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rStyle w:val="nfase"/>
          <w:color w:val="0F1115"/>
          <w:sz w:val="24"/>
          <w:szCs w:val="24"/>
          <w:shd w:val="clear" w:color="auto" w:fill="FFFFFF"/>
        </w:rPr>
        <w:t>Judith ou Salomé?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 xml:space="preserve">(Maffei, 1650-1660); a semiótica da </w:t>
      </w:r>
      <w:proofErr w:type="gramStart"/>
      <w:r w:rsidRPr="004F0FDD">
        <w:rPr>
          <w:color w:val="0F1115"/>
          <w:sz w:val="24"/>
          <w:szCs w:val="24"/>
          <w:shd w:val="clear" w:color="auto" w:fill="FFFFFF"/>
        </w:rPr>
        <w:t>performance</w:t>
      </w:r>
      <w:proofErr w:type="gramEnd"/>
      <w:r w:rsidRPr="004F0FDD">
        <w:rPr>
          <w:color w:val="0F1115"/>
          <w:sz w:val="24"/>
          <w:szCs w:val="24"/>
          <w:shd w:val="clear" w:color="auto" w:fill="FFFFFF"/>
        </w:rPr>
        <w:t xml:space="preserve"> em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rStyle w:val="nfase"/>
          <w:color w:val="0F1115"/>
          <w:sz w:val="24"/>
          <w:szCs w:val="24"/>
          <w:shd w:val="clear" w:color="auto" w:fill="FFFFFF"/>
        </w:rPr>
        <w:t>A Rainha da Noite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>(Mozart, 1791); o conflito entre programa devoto e forma sensual em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rStyle w:val="nfase"/>
          <w:color w:val="0F1115"/>
          <w:sz w:val="24"/>
          <w:szCs w:val="24"/>
          <w:shd w:val="clear" w:color="auto" w:fill="FFFFFF"/>
        </w:rPr>
        <w:t>O Êxtase de Santa Teresa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>(Bernini, 1646-1652); a bricolagem ideológica em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rStyle w:val="nfase"/>
          <w:color w:val="0F1115"/>
          <w:sz w:val="24"/>
          <w:szCs w:val="24"/>
          <w:shd w:val="clear" w:color="auto" w:fill="FFFFFF"/>
        </w:rPr>
        <w:t>A Redenção de Cam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>(Brocos, 1895). Esse exercício repetido cria um lastro crítico, um repertório destilado e decantado que, nos capítulos analíticos seguintes, não precisará ser reexplicado.</w:t>
      </w:r>
    </w:p>
    <w:p w:rsidR="004F0FDD" w:rsidRDefault="004F0FDD" w:rsidP="00A10EC8">
      <w:pPr>
        <w:keepLines/>
        <w:widowControl w:val="0"/>
        <w:spacing w:line="360" w:lineRule="auto"/>
        <w:jc w:val="both"/>
        <w:rPr>
          <w:color w:val="0F1115"/>
          <w:sz w:val="24"/>
          <w:szCs w:val="24"/>
          <w:shd w:val="clear" w:color="auto" w:fill="FFFFFF"/>
        </w:rPr>
      </w:pPr>
      <w:r w:rsidRPr="004F0FDD">
        <w:rPr>
          <w:color w:val="0F1115"/>
          <w:sz w:val="24"/>
          <w:szCs w:val="24"/>
          <w:shd w:val="clear" w:color="auto" w:fill="FFFFFF"/>
        </w:rPr>
        <w:t>A originalidade da proposta, contudo, reside em dois conceitos-operadores forjados na experiência doméstica e elevados à condição de procedimento analítico: a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AA6600">
        <w:rPr>
          <w:rStyle w:val="Forte"/>
          <w:b w:val="0"/>
          <w:color w:val="0F1115"/>
          <w:sz w:val="24"/>
          <w:szCs w:val="24"/>
          <w:shd w:val="clear" w:color="auto" w:fill="FFFFFF"/>
        </w:rPr>
        <w:t>contaminação semiótica</w:t>
      </w:r>
      <w:r w:rsidR="00AA6600" w:rsidRPr="00AA6600">
        <w:rPr>
          <w:b/>
          <w:color w:val="0F1115"/>
          <w:sz w:val="24"/>
          <w:szCs w:val="24"/>
          <w:shd w:val="clear" w:color="auto" w:fill="FFFFFF"/>
        </w:rPr>
        <w:t xml:space="preserve"> </w:t>
      </w:r>
      <w:r w:rsidRPr="00AA6600">
        <w:rPr>
          <w:color w:val="0F1115"/>
          <w:sz w:val="24"/>
          <w:szCs w:val="24"/>
          <w:shd w:val="clear" w:color="auto" w:fill="FFFFFF"/>
        </w:rPr>
        <w:t>e o</w:t>
      </w:r>
      <w:r w:rsidR="00AA6600" w:rsidRPr="00AA6600">
        <w:rPr>
          <w:b/>
          <w:color w:val="0F1115"/>
          <w:sz w:val="24"/>
          <w:szCs w:val="24"/>
          <w:shd w:val="clear" w:color="auto" w:fill="FFFFFF"/>
        </w:rPr>
        <w:t xml:space="preserve"> </w:t>
      </w:r>
      <w:r w:rsidRPr="00AA6600">
        <w:rPr>
          <w:rStyle w:val="Forte"/>
          <w:b w:val="0"/>
          <w:color w:val="0F1115"/>
          <w:sz w:val="24"/>
          <w:szCs w:val="24"/>
          <w:shd w:val="clear" w:color="auto" w:fill="FFFFFF"/>
        </w:rPr>
        <w:t>polvilhamento</w:t>
      </w:r>
      <w:r w:rsidRPr="004F0FDD">
        <w:rPr>
          <w:color w:val="0F1115"/>
          <w:sz w:val="24"/>
          <w:szCs w:val="24"/>
          <w:shd w:val="clear" w:color="auto" w:fill="FFFFFF"/>
        </w:rPr>
        <w:t>. Eles operam como elo entre as duas camadas metodológicas, atravessando-as.</w:t>
      </w:r>
    </w:p>
    <w:p w:rsidR="004F0FDD" w:rsidRDefault="004F0FDD" w:rsidP="00A10EC8">
      <w:pPr>
        <w:keepLines/>
        <w:widowControl w:val="0"/>
        <w:spacing w:line="360" w:lineRule="auto"/>
        <w:jc w:val="both"/>
        <w:rPr>
          <w:color w:val="0F1115"/>
          <w:sz w:val="24"/>
          <w:szCs w:val="24"/>
          <w:shd w:val="clear" w:color="auto" w:fill="FFFFFF"/>
        </w:rPr>
      </w:pPr>
      <w:r w:rsidRPr="004F0FDD">
        <w:rPr>
          <w:color w:val="0F1115"/>
          <w:sz w:val="24"/>
          <w:szCs w:val="24"/>
          <w:shd w:val="clear" w:color="auto" w:fill="FFFFFF"/>
        </w:rPr>
        <w:lastRenderedPageBreak/>
        <w:t>A contaminação semiótica tem sua origem no ritual do bolo de puba. A mandioca fermentada por seis ou sete dias é prensada no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rStyle w:val="nfase"/>
          <w:color w:val="0F1115"/>
          <w:sz w:val="24"/>
          <w:szCs w:val="24"/>
          <w:shd w:val="clear" w:color="auto" w:fill="FFFFFF"/>
        </w:rPr>
        <w:t>tipiti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 xml:space="preserve">— tecnologia indígena de palha trançada —, liberando seu líquido que, </w:t>
      </w:r>
      <w:proofErr w:type="gramStart"/>
      <w:r w:rsidRPr="004F0FDD">
        <w:rPr>
          <w:color w:val="0F1115"/>
          <w:sz w:val="24"/>
          <w:szCs w:val="24"/>
          <w:shd w:val="clear" w:color="auto" w:fill="FFFFFF"/>
        </w:rPr>
        <w:t>após</w:t>
      </w:r>
      <w:proofErr w:type="gramEnd"/>
      <w:r w:rsidRPr="004F0FDD">
        <w:rPr>
          <w:color w:val="0F1115"/>
          <w:sz w:val="24"/>
          <w:szCs w:val="24"/>
          <w:shd w:val="clear" w:color="auto" w:fill="FFFFFF"/>
        </w:rPr>
        <w:t xml:space="preserve"> decantado e seco, torna-se o polvilho, matéria-prima da tapioca. Mas o gesto decisivo ocorre no fogo: a massa do bolo, envolvida em folhas de bananeira, é "contaminada" pelo contato com a folha, que lhe empresta um sabor e perfume únicos — uma defumação vegetal que nenhuma das partes possuía sozinha. Transportada para o plano metodológico, a contaminação semiótica opera como princípio de interdependência (Landowski, 2021): contaminar o cânone teórico com os saberes subalternizados, deixar que a folha de bananeira — a epistemologia doméstica, indígena, </w:t>
      </w:r>
      <w:proofErr w:type="spellStart"/>
      <w:r w:rsidRPr="004F0FDD">
        <w:rPr>
          <w:color w:val="0F1115"/>
          <w:sz w:val="24"/>
          <w:szCs w:val="24"/>
          <w:shd w:val="clear" w:color="auto" w:fill="FFFFFF"/>
        </w:rPr>
        <w:t>afrodiaspórica</w:t>
      </w:r>
      <w:proofErr w:type="spellEnd"/>
      <w:r w:rsidRPr="004F0FDD">
        <w:rPr>
          <w:color w:val="0F1115"/>
          <w:sz w:val="24"/>
          <w:szCs w:val="24"/>
          <w:shd w:val="clear" w:color="auto" w:fill="FFFFFF"/>
        </w:rPr>
        <w:t xml:space="preserve"> — empreste seu sabor à massa conceitual. Essa contaminação não apaga as referências hegemônicas — Deleuze, Merleau-Ponty, Greimas, Landowski —, mas propõe mesclá-las, "corrompê-las", "</w:t>
      </w:r>
      <w:proofErr w:type="gramStart"/>
      <w:r w:rsidRPr="004F0FDD">
        <w:rPr>
          <w:color w:val="0F1115"/>
          <w:sz w:val="24"/>
          <w:szCs w:val="24"/>
          <w:shd w:val="clear" w:color="auto" w:fill="FFFFFF"/>
        </w:rPr>
        <w:t>esculhambá</w:t>
      </w:r>
      <w:proofErr w:type="gramEnd"/>
      <w:r w:rsidRPr="004F0FDD">
        <w:rPr>
          <w:color w:val="0F1115"/>
          <w:sz w:val="24"/>
          <w:szCs w:val="24"/>
          <w:shd w:val="clear" w:color="auto" w:fill="FFFFFF"/>
        </w:rPr>
        <w:t xml:space="preserve">-las" com outras vozes igualmente fundantes: o baobá de Leda Maria Martins (1997), as encruzilhadas de Luiz Rufino (2019), o lugar de fala de Djamila Ribeiro (2019), a interseccionalidade de Carla Akotirene (2018), o "mundo </w:t>
      </w:r>
      <w:proofErr w:type="spellStart"/>
      <w:r w:rsidRPr="004F0FDD">
        <w:rPr>
          <w:color w:val="0F1115"/>
          <w:sz w:val="24"/>
          <w:szCs w:val="24"/>
          <w:shd w:val="clear" w:color="auto" w:fill="FFFFFF"/>
        </w:rPr>
        <w:t>zurdo</w:t>
      </w:r>
      <w:proofErr w:type="spellEnd"/>
      <w:r w:rsidRPr="004F0FDD">
        <w:rPr>
          <w:color w:val="0F1115"/>
          <w:sz w:val="24"/>
          <w:szCs w:val="24"/>
          <w:shd w:val="clear" w:color="auto" w:fill="FFFFFF"/>
        </w:rPr>
        <w:t xml:space="preserve">" de </w:t>
      </w:r>
      <w:r w:rsidR="00AA6600">
        <w:rPr>
          <w:color w:val="0F1115"/>
          <w:sz w:val="24"/>
          <w:szCs w:val="24"/>
          <w:shd w:val="clear" w:color="auto" w:fill="FFFFFF"/>
        </w:rPr>
        <w:t xml:space="preserve"> Gloria </w:t>
      </w:r>
      <w:r w:rsidRPr="004F0FDD">
        <w:rPr>
          <w:color w:val="0F1115"/>
          <w:sz w:val="24"/>
          <w:szCs w:val="24"/>
          <w:shd w:val="clear" w:color="auto" w:fill="FFFFFF"/>
        </w:rPr>
        <w:t>Anzaldúa, a serendipidade de Ana Maria Gonçalves (2009). Não se trata de substituir um cânone por outro, mas de rasurá-lo, cruzá-lo, ir além de suas fronteiras. Essa é uma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AA6600">
        <w:rPr>
          <w:rStyle w:val="Forte"/>
          <w:b w:val="0"/>
          <w:color w:val="0F1115"/>
          <w:sz w:val="24"/>
          <w:szCs w:val="24"/>
          <w:shd w:val="clear" w:color="auto" w:fill="FFFFFF"/>
        </w:rPr>
        <w:t>possibilidade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 xml:space="preserve">metodológica, não uma prescrição: </w:t>
      </w:r>
      <w:proofErr w:type="gramStart"/>
      <w:r w:rsidRPr="004F0FDD">
        <w:rPr>
          <w:color w:val="0F1115"/>
          <w:sz w:val="24"/>
          <w:szCs w:val="24"/>
          <w:shd w:val="clear" w:color="auto" w:fill="FFFFFF"/>
        </w:rPr>
        <w:t>o(</w:t>
      </w:r>
      <w:proofErr w:type="gramEnd"/>
      <w:r w:rsidRPr="004F0FDD">
        <w:rPr>
          <w:color w:val="0F1115"/>
          <w:sz w:val="24"/>
          <w:szCs w:val="24"/>
          <w:shd w:val="clear" w:color="auto" w:fill="FFFFFF"/>
        </w:rPr>
        <w:t>a) pesquisador(a)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rStyle w:val="nfase"/>
          <w:color w:val="0F1115"/>
          <w:sz w:val="24"/>
          <w:szCs w:val="24"/>
          <w:shd w:val="clear" w:color="auto" w:fill="FFFFFF"/>
        </w:rPr>
        <w:t>pode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>operar essa mescla, mas não há protocolo único.</w:t>
      </w:r>
    </w:p>
    <w:p w:rsidR="004F0FDD" w:rsidRDefault="004F0FDD" w:rsidP="00A10EC8">
      <w:pPr>
        <w:keepLines/>
        <w:widowControl w:val="0"/>
        <w:spacing w:line="360" w:lineRule="auto"/>
        <w:jc w:val="both"/>
        <w:rPr>
          <w:color w:val="0F1115"/>
          <w:sz w:val="24"/>
          <w:szCs w:val="24"/>
          <w:shd w:val="clear" w:color="auto" w:fill="FFFFFF"/>
        </w:rPr>
      </w:pPr>
      <w:r w:rsidRPr="004F0FDD">
        <w:rPr>
          <w:color w:val="0F1115"/>
          <w:sz w:val="24"/>
          <w:szCs w:val="24"/>
          <w:shd w:val="clear" w:color="auto" w:fill="FFFFFF"/>
        </w:rPr>
        <w:t>O polvilhamento é o segundo conceito-operador, ponte entre o arsenal teórico e a análise do corpus central. O polvilho — fécula finíssima que se deposita no fundo do recipiente — não é a mandioca bruta; é sua potência concentrada, pronta para ser polvilhada e transformar outras massas. Do mesmo modo, o arsenal teórico apresentado no capítulo propedêutico é um repertório destilado, decantado, que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rStyle w:val="nfase"/>
          <w:color w:val="0F1115"/>
          <w:sz w:val="24"/>
          <w:szCs w:val="24"/>
          <w:shd w:val="clear" w:color="auto" w:fill="FFFFFF"/>
        </w:rPr>
        <w:t>pode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>ser polvilhado sobre o corpus central. Os conceitos de geografia do poder, coreografia dos olhares, semiótica do gesto, figurativização, isotopia, regimes de interação, bricolagem ideológica — todos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rStyle w:val="nfase"/>
          <w:color w:val="0F1115"/>
          <w:sz w:val="24"/>
          <w:szCs w:val="24"/>
          <w:shd w:val="clear" w:color="auto" w:fill="FFFFFF"/>
        </w:rPr>
        <w:t>podem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>ser evocados com economia, polvilhados sobre as esculturas para revelar suas texturas mais ocultas. O polvilhamento não é um método fechado, mas um gesto que respeita a especificidade de cada obra.</w:t>
      </w:r>
    </w:p>
    <w:p w:rsidR="004F0FDD" w:rsidRDefault="004F0FDD" w:rsidP="00A10EC8">
      <w:pPr>
        <w:keepLines/>
        <w:widowControl w:val="0"/>
        <w:spacing w:line="360" w:lineRule="auto"/>
        <w:jc w:val="both"/>
        <w:rPr>
          <w:color w:val="0F1115"/>
          <w:sz w:val="24"/>
          <w:szCs w:val="24"/>
          <w:shd w:val="clear" w:color="auto" w:fill="FFFFFF"/>
        </w:rPr>
      </w:pPr>
      <w:r w:rsidRPr="004F0FDD">
        <w:rPr>
          <w:color w:val="0F1115"/>
          <w:sz w:val="24"/>
          <w:szCs w:val="24"/>
          <w:shd w:val="clear" w:color="auto" w:fill="FFFFFF"/>
        </w:rPr>
        <w:lastRenderedPageBreak/>
        <w:t>Essa correspondência entre processos, contudo, não é apenas metafórica. O tipiti, ao prensar a puba, imprime no corpo da massa a marca do trançado das palhas — a matéria recebe a textura da tecnologia que a transforma. Do mesmo modo, as esculturas de Ceschiatti, antes de serem fundidas em bronze, foram modeladas em barro ou gesso: a matéria mole recebeu a marca das mãos, dos instrumentos, do gesto do escultor, para depois ganhar o corpo definitivo e aparentemente imutável do metal. A puba, endurecida pelo sol, é amolecida na água ou no leite para se tornar bolo. O bronze de Ceschiatti, na tese, é "amolecido" pelas cruzas teóricas que a análise opera — tornado maleável à leitura crítica, deslocado de sua aparente eternidade. O gesto metodológico, assim, não é apenas conceitual: é material. A mão que modela o barro, a mão que trança o tipiti, a mão que envolve o bolo na folha de bananeira — todas são mãos que transformam matéria em sentido.</w:t>
      </w:r>
    </w:p>
    <w:p w:rsidR="004F0FDD" w:rsidRDefault="004F0FDD" w:rsidP="00A10EC8">
      <w:pPr>
        <w:keepLines/>
        <w:widowControl w:val="0"/>
        <w:spacing w:line="360" w:lineRule="auto"/>
        <w:jc w:val="both"/>
        <w:rPr>
          <w:color w:val="0F1115"/>
          <w:sz w:val="24"/>
          <w:szCs w:val="24"/>
          <w:shd w:val="clear" w:color="auto" w:fill="FFFFFF"/>
        </w:rPr>
      </w:pPr>
      <w:r w:rsidRPr="004F0FDD">
        <w:rPr>
          <w:color w:val="0F1115"/>
          <w:sz w:val="24"/>
          <w:szCs w:val="24"/>
          <w:shd w:val="clear" w:color="auto" w:fill="FFFFFF"/>
        </w:rPr>
        <w:t>O conjunto escultórico de Ceschiatti não é um objeto passivo. As esculturas — bronzes modernistas que ocupam os espaços do poder político brasileiro —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AA6600">
        <w:rPr>
          <w:rStyle w:val="nfase"/>
          <w:i w:val="0"/>
          <w:color w:val="0F1115"/>
          <w:sz w:val="24"/>
          <w:szCs w:val="24"/>
          <w:shd w:val="clear" w:color="auto" w:fill="FFFFFF"/>
        </w:rPr>
        <w:t>performatizam</w:t>
      </w:r>
      <w:proofErr w:type="spellEnd"/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>discursos de gênero, raça e classe que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rStyle w:val="nfase"/>
          <w:color w:val="0F1115"/>
          <w:sz w:val="24"/>
          <w:szCs w:val="24"/>
          <w:shd w:val="clear" w:color="auto" w:fill="FFFFFF"/>
        </w:rPr>
        <w:t>podem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 xml:space="preserve">ser desmontados. A metodologia da contaminação e do polvilhamento é convocada para interrogar, no bronze, as encenações do poder que o bronze cristaliza. O gesto decolonial, aqui, não é temático — é operacional: </w:t>
      </w:r>
      <w:proofErr w:type="gramStart"/>
      <w:r w:rsidRPr="004F0FDD">
        <w:rPr>
          <w:color w:val="0F1115"/>
          <w:sz w:val="24"/>
          <w:szCs w:val="24"/>
          <w:shd w:val="clear" w:color="auto" w:fill="FFFFFF"/>
        </w:rPr>
        <w:t>o(</w:t>
      </w:r>
      <w:proofErr w:type="gramEnd"/>
      <w:r w:rsidRPr="004F0FDD">
        <w:rPr>
          <w:color w:val="0F1115"/>
          <w:sz w:val="24"/>
          <w:szCs w:val="24"/>
          <w:shd w:val="clear" w:color="auto" w:fill="FFFFFF"/>
        </w:rPr>
        <w:t>a) pesquisador(a)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rStyle w:val="nfase"/>
          <w:color w:val="0F1115"/>
          <w:sz w:val="24"/>
          <w:szCs w:val="24"/>
          <w:shd w:val="clear" w:color="auto" w:fill="FFFFFF"/>
        </w:rPr>
        <w:t>pode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>contaminar o objeto com saberes que o bronze não esperava, e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rStyle w:val="nfase"/>
          <w:color w:val="0F1115"/>
          <w:sz w:val="24"/>
          <w:szCs w:val="24"/>
          <w:shd w:val="clear" w:color="auto" w:fill="FFFFFF"/>
        </w:rPr>
        <w:t>pode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>polvilhar o arsenal teórico com perguntas que o modernismo não previa.</w:t>
      </w:r>
    </w:p>
    <w:p w:rsidR="004F0FDD" w:rsidRDefault="004F0FDD" w:rsidP="00A10EC8">
      <w:pPr>
        <w:keepLines/>
        <w:widowControl w:val="0"/>
        <w:spacing w:line="360" w:lineRule="auto"/>
        <w:jc w:val="both"/>
        <w:rPr>
          <w:color w:val="0F1115"/>
          <w:sz w:val="24"/>
          <w:szCs w:val="24"/>
          <w:shd w:val="clear" w:color="auto" w:fill="FFFFFF"/>
        </w:rPr>
      </w:pPr>
      <w:r w:rsidRPr="004F0FDD">
        <w:rPr>
          <w:color w:val="0F1115"/>
          <w:sz w:val="24"/>
          <w:szCs w:val="24"/>
          <w:shd w:val="clear" w:color="auto" w:fill="FFFFFF"/>
        </w:rPr>
        <w:t xml:space="preserve">Essa dupla operação confere à metodologia seu caráter original e condizente com a temática do congresso, que privilegia a decolonialidade, a </w:t>
      </w:r>
      <w:proofErr w:type="spellStart"/>
      <w:r w:rsidRPr="004F0FDD">
        <w:rPr>
          <w:color w:val="0F1115"/>
          <w:sz w:val="24"/>
          <w:szCs w:val="24"/>
          <w:shd w:val="clear" w:color="auto" w:fill="FFFFFF"/>
        </w:rPr>
        <w:t>interculturalização</w:t>
      </w:r>
      <w:proofErr w:type="spellEnd"/>
      <w:r w:rsidRPr="004F0FDD">
        <w:rPr>
          <w:color w:val="0F1115"/>
          <w:sz w:val="24"/>
          <w:szCs w:val="24"/>
          <w:shd w:val="clear" w:color="auto" w:fill="FFFFFF"/>
        </w:rPr>
        <w:t xml:space="preserve"> em ações afirmativas e a justiça epistêmica. A pesquisa não apenas tematiza esses conceitos, mas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rStyle w:val="nfase"/>
          <w:color w:val="0F1115"/>
          <w:sz w:val="24"/>
          <w:szCs w:val="24"/>
          <w:shd w:val="clear" w:color="auto" w:fill="FFFFFF"/>
        </w:rPr>
        <w:t>pode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>operá-los em seu próprio fazer: ao eleger o tipiti como imagem metodológica, ao tomar a contaminação da folha de bananeira como procedimento analítico, ao nomear o polvilhamento como gesto de aplicação teórica, ela pratica, na forma, o que anuncia no conteúdo.</w:t>
      </w:r>
    </w:p>
    <w:p w:rsidR="004F0FDD" w:rsidRDefault="004F0FDD" w:rsidP="00A10EC8">
      <w:pPr>
        <w:keepLines/>
        <w:widowControl w:val="0"/>
        <w:spacing w:line="360" w:lineRule="auto"/>
        <w:jc w:val="both"/>
        <w:rPr>
          <w:color w:val="0F1115"/>
          <w:sz w:val="24"/>
          <w:szCs w:val="24"/>
          <w:shd w:val="clear" w:color="auto" w:fill="FFFFFF"/>
        </w:rPr>
      </w:pPr>
      <w:r w:rsidRPr="004F0FDD">
        <w:rPr>
          <w:color w:val="0F1115"/>
          <w:sz w:val="24"/>
          <w:szCs w:val="24"/>
          <w:shd w:val="clear" w:color="auto" w:fill="FFFFFF"/>
        </w:rPr>
        <w:t>O afunilamento progressivo — da aplicação panorâmica em obras diversas à aplicação focal no conjunto escultórico de Ceschiatti — é uma das marcas distintivas da proposta. Trata-se de uma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AA6600">
        <w:rPr>
          <w:rStyle w:val="Forte"/>
          <w:b w:val="0"/>
          <w:color w:val="0F1115"/>
          <w:sz w:val="24"/>
          <w:szCs w:val="24"/>
          <w:shd w:val="clear" w:color="auto" w:fill="FFFFFF"/>
        </w:rPr>
        <w:t>possibilidade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>de organização do percurso investigativo, não de uma alternativa excludente: o</w:t>
      </w:r>
      <w:r w:rsidR="00EF1BF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>(a) pesquisador</w:t>
      </w:r>
      <w:r w:rsidR="00EF1BF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>(a)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rStyle w:val="nfase"/>
          <w:color w:val="0F1115"/>
          <w:sz w:val="24"/>
          <w:szCs w:val="24"/>
          <w:shd w:val="clear" w:color="auto" w:fill="FFFFFF"/>
        </w:rPr>
        <w:t>pode</w:t>
      </w:r>
      <w:r w:rsidR="00AA6600">
        <w:rPr>
          <w:color w:val="0F1115"/>
          <w:sz w:val="24"/>
          <w:szCs w:val="24"/>
          <w:shd w:val="clear" w:color="auto" w:fill="FFFFFF"/>
        </w:rPr>
        <w:t xml:space="preserve"> </w:t>
      </w:r>
      <w:r w:rsidRPr="004F0FDD">
        <w:rPr>
          <w:color w:val="0F1115"/>
          <w:sz w:val="24"/>
          <w:szCs w:val="24"/>
          <w:shd w:val="clear" w:color="auto" w:fill="FFFFFF"/>
        </w:rPr>
        <w:t>optar por esse caminho ou por outro, conforme sua própria trajetória.</w:t>
      </w:r>
    </w:p>
    <w:p w:rsidR="004F0FDD" w:rsidRDefault="004F0FDD" w:rsidP="00A10EC8">
      <w:pPr>
        <w:keepLines/>
        <w:widowControl w:val="0"/>
        <w:spacing w:line="360" w:lineRule="auto"/>
        <w:jc w:val="both"/>
        <w:rPr>
          <w:color w:val="0F1115"/>
          <w:sz w:val="24"/>
          <w:szCs w:val="24"/>
          <w:shd w:val="clear" w:color="auto" w:fill="FFFFFF"/>
        </w:rPr>
      </w:pPr>
      <w:r w:rsidRPr="004F0FDD">
        <w:rPr>
          <w:color w:val="0F1115"/>
          <w:sz w:val="24"/>
          <w:szCs w:val="24"/>
          <w:shd w:val="clear" w:color="auto" w:fill="FFFFFF"/>
        </w:rPr>
        <w:lastRenderedPageBreak/>
        <w:t>Em suma, a metodologia aqui sintetizada é um modo de percepção que assume seu lugar de fala, recusa a falsa neutralidade, propõe contaminar o saber hegemônico com as epistemologias domésticas e indígenas, e sugere polvilhar o arsenal teórico sobre o corpus com a precisão de quem aprendeu, na cozinha, que a transformação exige fermentação, prensagem, decantação e o gesto final de polvilhar. Não é um método prescritivo, mas uma oferta: uma possibilidade, entre muitas, de fazer pesquisa de outro lugar.</w:t>
      </w:r>
    </w:p>
    <w:p w:rsidR="00182039" w:rsidRDefault="00182039" w:rsidP="00A10EC8">
      <w:pPr>
        <w:keepLines/>
        <w:widowControl w:val="0"/>
        <w:spacing w:line="360" w:lineRule="auto"/>
        <w:jc w:val="both"/>
        <w:rPr>
          <w:color w:val="0F1115"/>
          <w:sz w:val="24"/>
          <w:szCs w:val="24"/>
          <w:shd w:val="clear" w:color="auto" w:fill="FFFFFF"/>
        </w:rPr>
      </w:pPr>
    </w:p>
    <w:p w:rsidR="00F40505" w:rsidRDefault="004F0FDD" w:rsidP="00182039">
      <w:pPr>
        <w:keepLines/>
        <w:widowControl w:val="0"/>
        <w:spacing w:line="360" w:lineRule="auto"/>
        <w:jc w:val="both"/>
        <w:rPr>
          <w:color w:val="0F1115"/>
          <w:shd w:val="clear" w:color="auto" w:fill="FFFFFF"/>
        </w:rPr>
      </w:pPr>
      <w:r w:rsidRPr="00182039">
        <w:rPr>
          <w:rStyle w:val="Forte"/>
          <w:color w:val="0F1115"/>
          <w:shd w:val="clear" w:color="auto" w:fill="FFFFFF"/>
        </w:rPr>
        <w:t>Palavras-chave:</w:t>
      </w:r>
      <w:r w:rsidR="00182039">
        <w:rPr>
          <w:color w:val="0F1115"/>
          <w:shd w:val="clear" w:color="auto" w:fill="FFFFFF"/>
        </w:rPr>
        <w:t xml:space="preserve"> </w:t>
      </w:r>
      <w:r w:rsidRPr="00182039">
        <w:rPr>
          <w:color w:val="0F1115"/>
          <w:shd w:val="clear" w:color="auto" w:fill="FFFFFF"/>
        </w:rPr>
        <w:t>metodologia decolonial; contaminação semiótica; polvilhamento; tipiti; letramento visual crítico.</w:t>
      </w:r>
    </w:p>
    <w:p w:rsidR="00182039" w:rsidRPr="00182039" w:rsidRDefault="00182039" w:rsidP="00182039">
      <w:pPr>
        <w:keepLines/>
        <w:widowControl w:val="0"/>
        <w:spacing w:line="360" w:lineRule="auto"/>
        <w:jc w:val="both"/>
        <w:rPr>
          <w:b/>
          <w:bCs/>
        </w:rPr>
      </w:pPr>
    </w:p>
    <w:p w:rsidR="00F40505" w:rsidRDefault="00DC530E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F40505" w:rsidRDefault="00F40505"/>
    <w:p w:rsidR="00182039" w:rsidRPr="00182039" w:rsidRDefault="00182039" w:rsidP="001820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 xml:space="preserve">AKOTIRENE, Carla. </w:t>
      </w:r>
      <w:r w:rsidRPr="00182039">
        <w:rPr>
          <w:rStyle w:val="nfase"/>
          <w:rFonts w:ascii="Arial" w:hAnsi="Arial" w:cs="Arial"/>
          <w:b/>
          <w:i w:val="0"/>
          <w:color w:val="0F1115"/>
        </w:rPr>
        <w:t>O que é interseccionalidade?</w:t>
      </w:r>
      <w:r>
        <w:rPr>
          <w:rFonts w:ascii="Arial" w:hAnsi="Arial" w:cs="Arial"/>
          <w:color w:val="0F1115"/>
        </w:rPr>
        <w:t xml:space="preserve"> </w:t>
      </w:r>
      <w:r w:rsidRPr="00182039">
        <w:rPr>
          <w:rFonts w:ascii="Arial" w:hAnsi="Arial" w:cs="Arial"/>
          <w:color w:val="0F1115"/>
        </w:rPr>
        <w:t>Belo Horizonte: Letramento, 2018.</w:t>
      </w:r>
    </w:p>
    <w:p w:rsidR="00182039" w:rsidRPr="00182039" w:rsidRDefault="00182039" w:rsidP="001820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lang w:val="en-US"/>
        </w:rPr>
      </w:pPr>
      <w:r>
        <w:rPr>
          <w:rFonts w:ascii="Arial" w:hAnsi="Arial" w:cs="Arial"/>
          <w:color w:val="0F1115"/>
        </w:rPr>
        <w:t xml:space="preserve">ANZALDÚA, Gloria. </w:t>
      </w:r>
      <w:proofErr w:type="spellStart"/>
      <w:r w:rsidRPr="00182039">
        <w:rPr>
          <w:rStyle w:val="nfase"/>
          <w:rFonts w:ascii="Arial" w:hAnsi="Arial" w:cs="Arial"/>
          <w:b/>
          <w:i w:val="0"/>
          <w:color w:val="0F1115"/>
        </w:rPr>
        <w:t>Borderlands</w:t>
      </w:r>
      <w:proofErr w:type="spellEnd"/>
      <w:r w:rsidRPr="00182039">
        <w:rPr>
          <w:rStyle w:val="nfase"/>
          <w:rFonts w:ascii="Arial" w:hAnsi="Arial" w:cs="Arial"/>
          <w:b/>
          <w:i w:val="0"/>
          <w:color w:val="0F1115"/>
        </w:rPr>
        <w:t xml:space="preserve">/La </w:t>
      </w:r>
      <w:proofErr w:type="spellStart"/>
      <w:r w:rsidRPr="00182039">
        <w:rPr>
          <w:rStyle w:val="nfase"/>
          <w:rFonts w:ascii="Arial" w:hAnsi="Arial" w:cs="Arial"/>
          <w:b/>
          <w:i w:val="0"/>
          <w:color w:val="0F1115"/>
        </w:rPr>
        <w:t>Frontera</w:t>
      </w:r>
      <w:proofErr w:type="spellEnd"/>
      <w:r w:rsidRPr="00182039">
        <w:rPr>
          <w:rStyle w:val="nfase"/>
          <w:rFonts w:ascii="Arial" w:hAnsi="Arial" w:cs="Arial"/>
          <w:b/>
          <w:i w:val="0"/>
          <w:color w:val="0F1115"/>
        </w:rPr>
        <w:t>:</w:t>
      </w:r>
      <w:r w:rsidRPr="00182039">
        <w:rPr>
          <w:rStyle w:val="nfase"/>
          <w:rFonts w:ascii="Arial" w:hAnsi="Arial" w:cs="Arial"/>
          <w:i w:val="0"/>
          <w:color w:val="0F1115"/>
        </w:rPr>
        <w:t xml:space="preserve"> The New </w:t>
      </w:r>
      <w:proofErr w:type="spellStart"/>
      <w:r w:rsidRPr="00182039">
        <w:rPr>
          <w:rStyle w:val="nfase"/>
          <w:rFonts w:ascii="Arial" w:hAnsi="Arial" w:cs="Arial"/>
          <w:i w:val="0"/>
          <w:color w:val="0F1115"/>
        </w:rPr>
        <w:t>Mestiza</w:t>
      </w:r>
      <w:proofErr w:type="spellEnd"/>
      <w:r w:rsidRPr="00182039">
        <w:rPr>
          <w:rFonts w:ascii="Arial" w:hAnsi="Arial" w:cs="Arial"/>
          <w:i/>
          <w:color w:val="0F1115"/>
        </w:rPr>
        <w:t>.</w:t>
      </w:r>
      <w:r w:rsidRPr="00182039">
        <w:rPr>
          <w:rFonts w:ascii="Arial" w:hAnsi="Arial" w:cs="Arial"/>
          <w:color w:val="0F1115"/>
        </w:rPr>
        <w:t xml:space="preserve"> San </w:t>
      </w:r>
      <w:r w:rsidRPr="00182039">
        <w:rPr>
          <w:rFonts w:ascii="Arial" w:hAnsi="Arial" w:cs="Arial"/>
          <w:color w:val="0F1115"/>
          <w:lang w:val="en-US"/>
        </w:rPr>
        <w:t>Francisco: Aunt Lute Books, 1987.</w:t>
      </w:r>
    </w:p>
    <w:p w:rsidR="00182039" w:rsidRPr="00182039" w:rsidRDefault="00182039" w:rsidP="001820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182039">
        <w:rPr>
          <w:rFonts w:ascii="Arial" w:hAnsi="Arial" w:cs="Arial"/>
          <w:color w:val="0F1115"/>
        </w:rPr>
        <w:t>DE</w:t>
      </w:r>
      <w:r>
        <w:rPr>
          <w:rFonts w:ascii="Arial" w:hAnsi="Arial" w:cs="Arial"/>
          <w:color w:val="0F1115"/>
        </w:rPr>
        <w:t xml:space="preserve">LEUZE, Gilles; GUATTARI, Félix. </w:t>
      </w:r>
      <w:r w:rsidRPr="00182039">
        <w:rPr>
          <w:rStyle w:val="nfase"/>
          <w:rFonts w:ascii="Arial" w:hAnsi="Arial" w:cs="Arial"/>
          <w:b/>
          <w:i w:val="0"/>
          <w:color w:val="0F1115"/>
        </w:rPr>
        <w:t>Mil Platôs:</w:t>
      </w:r>
      <w:r w:rsidRPr="00182039">
        <w:rPr>
          <w:rStyle w:val="nfase"/>
          <w:rFonts w:ascii="Arial" w:hAnsi="Arial" w:cs="Arial"/>
          <w:i w:val="0"/>
          <w:color w:val="0F1115"/>
        </w:rPr>
        <w:t xml:space="preserve"> capitalismo e esquizofrenia</w:t>
      </w:r>
      <w:r w:rsidRPr="00182039">
        <w:rPr>
          <w:rFonts w:ascii="Arial" w:hAnsi="Arial" w:cs="Arial"/>
          <w:i/>
          <w:color w:val="0F1115"/>
        </w:rPr>
        <w:t xml:space="preserve">. </w:t>
      </w:r>
      <w:proofErr w:type="gramStart"/>
      <w:r w:rsidRPr="00182039">
        <w:rPr>
          <w:rFonts w:ascii="Arial" w:hAnsi="Arial" w:cs="Arial"/>
          <w:color w:val="0F1115"/>
        </w:rPr>
        <w:t>v.</w:t>
      </w:r>
      <w:proofErr w:type="gramEnd"/>
      <w:r w:rsidRPr="00182039">
        <w:rPr>
          <w:rFonts w:ascii="Arial" w:hAnsi="Arial" w:cs="Arial"/>
          <w:color w:val="0F1115"/>
        </w:rPr>
        <w:t xml:space="preserve"> 1. Tradução de Aurélio Guerra Neto. Rio de Janeiro: Editora 34, 2000.</w:t>
      </w:r>
    </w:p>
    <w:p w:rsidR="00182039" w:rsidRPr="00182039" w:rsidRDefault="00182039" w:rsidP="001820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 xml:space="preserve">GONÇALVES, Ana Maria. </w:t>
      </w:r>
      <w:r w:rsidRPr="00182039">
        <w:rPr>
          <w:rStyle w:val="nfase"/>
          <w:rFonts w:ascii="Arial" w:hAnsi="Arial" w:cs="Arial"/>
          <w:b/>
          <w:i w:val="0"/>
          <w:color w:val="0F1115"/>
        </w:rPr>
        <w:t>Um defeito de cor</w:t>
      </w:r>
      <w:r w:rsidRPr="00182039">
        <w:rPr>
          <w:rFonts w:ascii="Arial" w:hAnsi="Arial" w:cs="Arial"/>
          <w:b/>
          <w:i/>
          <w:color w:val="0F1115"/>
        </w:rPr>
        <w:t>.</w:t>
      </w:r>
      <w:r w:rsidRPr="00182039">
        <w:rPr>
          <w:rFonts w:ascii="Arial" w:hAnsi="Arial" w:cs="Arial"/>
          <w:color w:val="0F1115"/>
        </w:rPr>
        <w:t xml:space="preserve"> Rio de Janeiro: </w:t>
      </w:r>
      <w:proofErr w:type="gramStart"/>
      <w:r w:rsidRPr="00182039">
        <w:rPr>
          <w:rFonts w:ascii="Arial" w:hAnsi="Arial" w:cs="Arial"/>
          <w:color w:val="0F1115"/>
        </w:rPr>
        <w:t>Record</w:t>
      </w:r>
      <w:proofErr w:type="gramEnd"/>
      <w:r w:rsidRPr="00182039">
        <w:rPr>
          <w:rFonts w:ascii="Arial" w:hAnsi="Arial" w:cs="Arial"/>
          <w:color w:val="0F1115"/>
        </w:rPr>
        <w:t>, 2009.</w:t>
      </w:r>
    </w:p>
    <w:p w:rsidR="00182039" w:rsidRPr="00182039" w:rsidRDefault="00182039" w:rsidP="001820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182039">
        <w:rPr>
          <w:rFonts w:ascii="Arial" w:hAnsi="Arial" w:cs="Arial"/>
          <w:color w:val="0F1115"/>
        </w:rPr>
        <w:t>GREIMAS, Al</w:t>
      </w:r>
      <w:r>
        <w:rPr>
          <w:rFonts w:ascii="Arial" w:hAnsi="Arial" w:cs="Arial"/>
          <w:color w:val="0F1115"/>
        </w:rPr>
        <w:t xml:space="preserve">girdas Julien; COURTÉS, Joseph. </w:t>
      </w:r>
      <w:r w:rsidRPr="00182039">
        <w:rPr>
          <w:rStyle w:val="nfase"/>
          <w:rFonts w:ascii="Arial" w:hAnsi="Arial" w:cs="Arial"/>
          <w:b/>
          <w:i w:val="0"/>
          <w:color w:val="0F1115"/>
        </w:rPr>
        <w:t>Dicionário de Semiótica</w:t>
      </w:r>
      <w:r w:rsidRPr="00182039">
        <w:rPr>
          <w:rFonts w:ascii="Arial" w:hAnsi="Arial" w:cs="Arial"/>
          <w:b/>
          <w:i/>
          <w:color w:val="0F1115"/>
        </w:rPr>
        <w:t>.</w:t>
      </w:r>
      <w:r w:rsidRPr="00182039">
        <w:rPr>
          <w:rFonts w:ascii="Arial" w:hAnsi="Arial" w:cs="Arial"/>
          <w:color w:val="0F1115"/>
        </w:rPr>
        <w:t xml:space="preserve"> Tradução de Alceu Dias Lima </w:t>
      </w:r>
      <w:proofErr w:type="gramStart"/>
      <w:r w:rsidRPr="00182039">
        <w:rPr>
          <w:rFonts w:ascii="Arial" w:hAnsi="Arial" w:cs="Arial"/>
          <w:color w:val="0F1115"/>
        </w:rPr>
        <w:t>et</w:t>
      </w:r>
      <w:proofErr w:type="gramEnd"/>
      <w:r w:rsidRPr="00182039">
        <w:rPr>
          <w:rFonts w:ascii="Arial" w:hAnsi="Arial" w:cs="Arial"/>
          <w:color w:val="0F1115"/>
        </w:rPr>
        <w:t xml:space="preserve"> al. São Paulo: Cultrix, s/d.</w:t>
      </w:r>
    </w:p>
    <w:p w:rsidR="00182039" w:rsidRPr="00182039" w:rsidRDefault="00182039" w:rsidP="001820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182039">
        <w:rPr>
          <w:rFonts w:ascii="Arial" w:hAnsi="Arial" w:cs="Arial"/>
          <w:color w:val="0F1115"/>
        </w:rPr>
        <w:t>LANDOWSKI</w:t>
      </w:r>
      <w:r>
        <w:rPr>
          <w:rFonts w:ascii="Arial" w:hAnsi="Arial" w:cs="Arial"/>
          <w:color w:val="0F1115"/>
        </w:rPr>
        <w:t xml:space="preserve">, Eric. </w:t>
      </w:r>
      <w:r w:rsidRPr="00182039">
        <w:rPr>
          <w:rStyle w:val="nfase"/>
          <w:rFonts w:ascii="Arial" w:hAnsi="Arial" w:cs="Arial"/>
          <w:b/>
          <w:i w:val="0"/>
          <w:color w:val="0F1115"/>
        </w:rPr>
        <w:t>Interações arriscadas</w:t>
      </w:r>
      <w:r w:rsidRPr="00182039">
        <w:rPr>
          <w:rFonts w:ascii="Arial" w:hAnsi="Arial" w:cs="Arial"/>
          <w:b/>
          <w:i/>
          <w:color w:val="0F1115"/>
        </w:rPr>
        <w:t>.</w:t>
      </w:r>
      <w:r w:rsidRPr="00182039">
        <w:rPr>
          <w:rFonts w:ascii="Arial" w:hAnsi="Arial" w:cs="Arial"/>
          <w:color w:val="0F1115"/>
        </w:rPr>
        <w:t xml:space="preserve"> Tradução de Luiza Helena Oliveira da Silva. São Paulo: Estação das Letras e Cores, 2014.</w:t>
      </w:r>
    </w:p>
    <w:p w:rsidR="00182039" w:rsidRDefault="00182039" w:rsidP="001820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 xml:space="preserve">LANDOWSKI, Eric. </w:t>
      </w:r>
      <w:r w:rsidRPr="00182039">
        <w:rPr>
          <w:rStyle w:val="nfase"/>
          <w:rFonts w:ascii="Arial" w:hAnsi="Arial" w:cs="Arial"/>
          <w:b/>
          <w:i w:val="0"/>
          <w:color w:val="0F1115"/>
        </w:rPr>
        <w:t>Presenças do outro:</w:t>
      </w:r>
      <w:r w:rsidRPr="00182039">
        <w:rPr>
          <w:rStyle w:val="nfase"/>
          <w:rFonts w:ascii="Arial" w:hAnsi="Arial" w:cs="Arial"/>
          <w:i w:val="0"/>
          <w:color w:val="0F1115"/>
        </w:rPr>
        <w:t xml:space="preserve"> ensaios de sociossemiótica</w:t>
      </w:r>
      <w:r w:rsidRPr="00182039">
        <w:rPr>
          <w:rFonts w:ascii="Arial" w:hAnsi="Arial" w:cs="Arial"/>
          <w:i/>
          <w:color w:val="0F1115"/>
        </w:rPr>
        <w:t>.</w:t>
      </w:r>
      <w:r w:rsidRPr="00182039">
        <w:rPr>
          <w:rFonts w:ascii="Arial" w:hAnsi="Arial" w:cs="Arial"/>
          <w:color w:val="0F1115"/>
        </w:rPr>
        <w:t xml:space="preserve"> Tradução de Luiza Helena Oliveira da Silva. São Paulo: Estação das Letras e Cores, 2021.</w:t>
      </w:r>
    </w:p>
    <w:p w:rsidR="00AC5889" w:rsidRPr="00AC5889" w:rsidRDefault="00AC5889" w:rsidP="001820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lang w:val="en-US"/>
        </w:rPr>
      </w:pPr>
      <w:proofErr w:type="gramStart"/>
      <w:r w:rsidRPr="00AC5889">
        <w:rPr>
          <w:rFonts w:ascii="Arial" w:hAnsi="Arial" w:cs="Arial"/>
          <w:color w:val="0F1115"/>
          <w:shd w:val="clear" w:color="auto" w:fill="FFFFFF"/>
          <w:lang w:val="en-US"/>
        </w:rPr>
        <w:t>LEEUWEN, Theo van.</w:t>
      </w:r>
      <w:proofErr w:type="gramEnd"/>
      <w:r>
        <w:rPr>
          <w:rFonts w:ascii="Arial" w:hAnsi="Arial" w:cs="Arial"/>
          <w:color w:val="0F1115"/>
          <w:shd w:val="clear" w:color="auto" w:fill="FFFFFF"/>
          <w:lang w:val="en-US"/>
        </w:rPr>
        <w:t xml:space="preserve"> </w:t>
      </w:r>
      <w:proofErr w:type="gramStart"/>
      <w:r w:rsidRPr="00AC5889">
        <w:rPr>
          <w:rStyle w:val="nfase"/>
          <w:rFonts w:ascii="Arial" w:hAnsi="Arial" w:cs="Arial"/>
          <w:b/>
          <w:i w:val="0"/>
          <w:color w:val="0F1115"/>
          <w:shd w:val="clear" w:color="auto" w:fill="FFFFFF"/>
          <w:lang w:val="en-US"/>
        </w:rPr>
        <w:t>Multimodality and Identity</w:t>
      </w:r>
      <w:r w:rsidRPr="00AC5889">
        <w:rPr>
          <w:rFonts w:ascii="Arial" w:hAnsi="Arial" w:cs="Arial"/>
          <w:b/>
          <w:i/>
          <w:color w:val="0F1115"/>
          <w:shd w:val="clear" w:color="auto" w:fill="FFFFFF"/>
          <w:lang w:val="en-US"/>
        </w:rPr>
        <w:t>.</w:t>
      </w:r>
      <w:proofErr w:type="gramEnd"/>
      <w:r w:rsidRPr="00AC5889">
        <w:rPr>
          <w:rFonts w:ascii="Arial" w:hAnsi="Arial" w:cs="Arial"/>
          <w:color w:val="0F1115"/>
          <w:shd w:val="clear" w:color="auto" w:fill="FFFFFF"/>
          <w:lang w:val="en-US"/>
        </w:rPr>
        <w:t xml:space="preserve"> London: </w:t>
      </w:r>
      <w:proofErr w:type="spellStart"/>
      <w:r w:rsidRPr="00AC5889">
        <w:rPr>
          <w:rFonts w:ascii="Arial" w:hAnsi="Arial" w:cs="Arial"/>
          <w:color w:val="0F1115"/>
          <w:shd w:val="clear" w:color="auto" w:fill="FFFFFF"/>
          <w:lang w:val="en-US"/>
        </w:rPr>
        <w:t>Routledge</w:t>
      </w:r>
      <w:proofErr w:type="spellEnd"/>
      <w:r w:rsidRPr="00AC5889">
        <w:rPr>
          <w:rFonts w:ascii="Arial" w:hAnsi="Arial" w:cs="Arial"/>
          <w:color w:val="0F1115"/>
          <w:shd w:val="clear" w:color="auto" w:fill="FFFFFF"/>
          <w:lang w:val="en-US"/>
        </w:rPr>
        <w:t>, 2022</w:t>
      </w:r>
    </w:p>
    <w:p w:rsidR="00182039" w:rsidRPr="00182039" w:rsidRDefault="00182039" w:rsidP="001820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proofErr w:type="gramStart"/>
      <w:r w:rsidRPr="00AC5889">
        <w:rPr>
          <w:rFonts w:ascii="Arial" w:hAnsi="Arial" w:cs="Arial"/>
          <w:color w:val="0F1115"/>
          <w:lang w:val="en-US"/>
        </w:rPr>
        <w:t>MARTINS, Leda Maria.</w:t>
      </w:r>
      <w:proofErr w:type="gramEnd"/>
      <w:r w:rsidRPr="00AC5889">
        <w:rPr>
          <w:rFonts w:ascii="Arial" w:hAnsi="Arial" w:cs="Arial"/>
          <w:color w:val="0F1115"/>
          <w:lang w:val="en-US"/>
        </w:rPr>
        <w:t xml:space="preserve"> </w:t>
      </w:r>
      <w:r w:rsidRPr="00182039">
        <w:rPr>
          <w:rFonts w:ascii="Arial" w:hAnsi="Arial" w:cs="Arial"/>
          <w:b/>
          <w:color w:val="0F1115"/>
        </w:rPr>
        <w:t>A oralitura da me</w:t>
      </w:r>
      <w:r w:rsidRPr="00182039">
        <w:rPr>
          <w:rFonts w:ascii="Arial" w:hAnsi="Arial" w:cs="Arial"/>
          <w:b/>
          <w:color w:val="0F1115"/>
        </w:rPr>
        <w:t>mória</w:t>
      </w:r>
      <w:r>
        <w:rPr>
          <w:rFonts w:ascii="Arial" w:hAnsi="Arial" w:cs="Arial"/>
          <w:color w:val="0F1115"/>
        </w:rPr>
        <w:t xml:space="preserve">. In: MARTINS, Leda Maria. </w:t>
      </w:r>
      <w:proofErr w:type="spellStart"/>
      <w:r w:rsidRPr="00182039">
        <w:rPr>
          <w:rStyle w:val="nfase"/>
          <w:rFonts w:ascii="Arial" w:hAnsi="Arial" w:cs="Arial"/>
          <w:color w:val="0F1115"/>
        </w:rPr>
        <w:t>Afrografias</w:t>
      </w:r>
      <w:proofErr w:type="spellEnd"/>
      <w:r w:rsidRPr="00182039">
        <w:rPr>
          <w:rStyle w:val="nfase"/>
          <w:rFonts w:ascii="Arial" w:hAnsi="Arial" w:cs="Arial"/>
          <w:color w:val="0F1115"/>
        </w:rPr>
        <w:t xml:space="preserve"> da memória: o reinado do Rosário no Jatobá</w:t>
      </w:r>
      <w:r w:rsidRPr="00182039">
        <w:rPr>
          <w:rFonts w:ascii="Arial" w:hAnsi="Arial" w:cs="Arial"/>
          <w:color w:val="0F1115"/>
        </w:rPr>
        <w:t xml:space="preserve">. São Paulo: Perspectiva, 1997. </w:t>
      </w:r>
      <w:proofErr w:type="gramStart"/>
      <w:r w:rsidRPr="00182039">
        <w:rPr>
          <w:rFonts w:ascii="Arial" w:hAnsi="Arial" w:cs="Arial"/>
          <w:color w:val="0F1115"/>
        </w:rPr>
        <w:t>p.</w:t>
      </w:r>
      <w:proofErr w:type="gramEnd"/>
      <w:r w:rsidRPr="00182039">
        <w:rPr>
          <w:rFonts w:ascii="Arial" w:hAnsi="Arial" w:cs="Arial"/>
          <w:color w:val="0F1115"/>
        </w:rPr>
        <w:t xml:space="preserve"> 25-45.</w:t>
      </w:r>
    </w:p>
    <w:p w:rsidR="00182039" w:rsidRPr="00182039" w:rsidRDefault="00182039" w:rsidP="001820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 xml:space="preserve">MERLEAU-PONTY, Maurice. </w:t>
      </w:r>
      <w:r w:rsidRPr="00182039">
        <w:rPr>
          <w:rStyle w:val="nfase"/>
          <w:rFonts w:ascii="Arial" w:hAnsi="Arial" w:cs="Arial"/>
          <w:b/>
          <w:i w:val="0"/>
          <w:color w:val="0F1115"/>
        </w:rPr>
        <w:t>Fenomenologia da percepção</w:t>
      </w:r>
      <w:r w:rsidRPr="00182039">
        <w:rPr>
          <w:rFonts w:ascii="Arial" w:hAnsi="Arial" w:cs="Arial"/>
          <w:b/>
          <w:i/>
          <w:color w:val="0F1115"/>
        </w:rPr>
        <w:t>.</w:t>
      </w:r>
      <w:r w:rsidRPr="00182039">
        <w:rPr>
          <w:rFonts w:ascii="Arial" w:hAnsi="Arial" w:cs="Arial"/>
          <w:color w:val="0F1115"/>
        </w:rPr>
        <w:t xml:space="preserve"> Tradução de Carlos Alberto Ribeiro de Moura. São Paulo: Martins Fontes, 1999.</w:t>
      </w:r>
    </w:p>
    <w:p w:rsidR="00182039" w:rsidRPr="00182039" w:rsidRDefault="00182039" w:rsidP="001820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t xml:space="preserve">RIBEIRO, Djamila. </w:t>
      </w:r>
      <w:r w:rsidRPr="00182039">
        <w:rPr>
          <w:rStyle w:val="nfase"/>
          <w:rFonts w:ascii="Arial" w:hAnsi="Arial" w:cs="Arial"/>
          <w:b/>
          <w:i w:val="0"/>
          <w:color w:val="0F1115"/>
        </w:rPr>
        <w:t>Lugar de fala</w:t>
      </w:r>
      <w:r w:rsidRPr="00182039">
        <w:rPr>
          <w:rFonts w:ascii="Arial" w:hAnsi="Arial" w:cs="Arial"/>
          <w:color w:val="0F1115"/>
        </w:rPr>
        <w:t xml:space="preserve">. São Paulo: </w:t>
      </w:r>
      <w:proofErr w:type="spellStart"/>
      <w:r w:rsidRPr="00182039">
        <w:rPr>
          <w:rFonts w:ascii="Arial" w:hAnsi="Arial" w:cs="Arial"/>
          <w:color w:val="0F1115"/>
        </w:rPr>
        <w:t>Jandaíra</w:t>
      </w:r>
      <w:proofErr w:type="spellEnd"/>
      <w:r w:rsidRPr="00182039">
        <w:rPr>
          <w:rFonts w:ascii="Arial" w:hAnsi="Arial" w:cs="Arial"/>
          <w:color w:val="0F1115"/>
        </w:rPr>
        <w:t>, 2019.</w:t>
      </w:r>
    </w:p>
    <w:p w:rsidR="00F40505" w:rsidRPr="00182039" w:rsidRDefault="00182039" w:rsidP="00182039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>
        <w:rPr>
          <w:rFonts w:ascii="Arial" w:hAnsi="Arial" w:cs="Arial"/>
          <w:color w:val="0F1115"/>
        </w:rPr>
        <w:lastRenderedPageBreak/>
        <w:t xml:space="preserve">RUFINO, Luiz. </w:t>
      </w:r>
      <w:r w:rsidRPr="00182039">
        <w:rPr>
          <w:rStyle w:val="nfase"/>
          <w:rFonts w:ascii="Arial" w:hAnsi="Arial" w:cs="Arial"/>
          <w:b/>
          <w:i w:val="0"/>
          <w:color w:val="0F1115"/>
        </w:rPr>
        <w:t>Pedagogia das encruzilhadas</w:t>
      </w:r>
      <w:r w:rsidRPr="00182039">
        <w:rPr>
          <w:rFonts w:ascii="Arial" w:hAnsi="Arial" w:cs="Arial"/>
          <w:b/>
          <w:i/>
          <w:color w:val="0F1115"/>
        </w:rPr>
        <w:t>.</w:t>
      </w:r>
      <w:r w:rsidRPr="00182039">
        <w:rPr>
          <w:rFonts w:ascii="Arial" w:hAnsi="Arial" w:cs="Arial"/>
          <w:color w:val="0F1115"/>
        </w:rPr>
        <w:t xml:space="preserve"> Rio de Janeiro: Mórula, 2019.</w:t>
      </w:r>
    </w:p>
    <w:sectPr w:rsidR="00F40505" w:rsidRPr="00182039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C530E">
      <w:pPr>
        <w:spacing w:line="240" w:lineRule="auto"/>
      </w:pPr>
      <w:r>
        <w:separator/>
      </w:r>
    </w:p>
  </w:endnote>
  <w:endnote w:type="continuationSeparator" w:id="0">
    <w:p w:rsidR="00000000" w:rsidRDefault="00DC53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1" w:fontKey="{8FB0D571-E7C0-4D9C-9310-56236E312AB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6C55DE54-2ED0-4410-8DEE-F6AABBE4AFC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0505" w:rsidRDefault="00DC530E">
    <w:pPr>
      <w:jc w:val="center"/>
    </w:pPr>
    <w:r>
      <w:fldChar w:fldCharType="begin"/>
    </w:r>
    <w:r>
      <w:instrText>PAGE</w:instrText>
    </w:r>
    <w:r w:rsidR="00A10EC8">
      <w:fldChar w:fldCharType="separate"/>
    </w:r>
    <w:r w:rsidR="00E66CD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0505" w:rsidRDefault="00F4050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C530E">
      <w:pPr>
        <w:spacing w:line="240" w:lineRule="auto"/>
      </w:pPr>
      <w:r>
        <w:separator/>
      </w:r>
    </w:p>
  </w:footnote>
  <w:footnote w:type="continuationSeparator" w:id="0">
    <w:p w:rsidR="00000000" w:rsidRDefault="00DC53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0505" w:rsidRDefault="00DC530E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40505" w:rsidRDefault="00F40505">
    <w:pPr>
      <w:jc w:val="right"/>
    </w:pPr>
  </w:p>
  <w:p w:rsidR="00F40505" w:rsidRDefault="00F40505">
    <w:pPr>
      <w:jc w:val="right"/>
    </w:pPr>
  </w:p>
  <w:p w:rsidR="00F40505" w:rsidRDefault="00DC530E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0505" w:rsidRDefault="00F4050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40505"/>
    <w:rsid w:val="001478E0"/>
    <w:rsid w:val="00182039"/>
    <w:rsid w:val="00236F69"/>
    <w:rsid w:val="003771FC"/>
    <w:rsid w:val="004F0FDD"/>
    <w:rsid w:val="00924265"/>
    <w:rsid w:val="00A10EC8"/>
    <w:rsid w:val="00AA6600"/>
    <w:rsid w:val="00AC5889"/>
    <w:rsid w:val="00B62A9B"/>
    <w:rsid w:val="00D44B9D"/>
    <w:rsid w:val="00D7630B"/>
    <w:rsid w:val="00DC530E"/>
    <w:rsid w:val="00E01242"/>
    <w:rsid w:val="00E66CD2"/>
    <w:rsid w:val="00EF1BF0"/>
    <w:rsid w:val="00F4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nfase">
    <w:name w:val="Emphasis"/>
    <w:basedOn w:val="Fontepargpadro"/>
    <w:uiPriority w:val="20"/>
    <w:qFormat/>
    <w:rsid w:val="00A10EC8"/>
    <w:rPr>
      <w:i/>
      <w:iCs/>
    </w:rPr>
  </w:style>
  <w:style w:type="character" w:styleId="Forte">
    <w:name w:val="Strong"/>
    <w:basedOn w:val="Fontepargpadro"/>
    <w:uiPriority w:val="22"/>
    <w:qFormat/>
    <w:rsid w:val="004F0FDD"/>
    <w:rPr>
      <w:b/>
      <w:bCs/>
    </w:rPr>
  </w:style>
  <w:style w:type="paragraph" w:customStyle="1" w:styleId="ds-markdown-paragraph">
    <w:name w:val="ds-markdown-paragraph"/>
    <w:basedOn w:val="Normal"/>
    <w:rsid w:val="00182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nfase">
    <w:name w:val="Emphasis"/>
    <w:basedOn w:val="Fontepargpadro"/>
    <w:uiPriority w:val="20"/>
    <w:qFormat/>
    <w:rsid w:val="00A10EC8"/>
    <w:rPr>
      <w:i/>
      <w:iCs/>
    </w:rPr>
  </w:style>
  <w:style w:type="character" w:styleId="Forte">
    <w:name w:val="Strong"/>
    <w:basedOn w:val="Fontepargpadro"/>
    <w:uiPriority w:val="22"/>
    <w:qFormat/>
    <w:rsid w:val="004F0FDD"/>
    <w:rPr>
      <w:b/>
      <w:bCs/>
    </w:rPr>
  </w:style>
  <w:style w:type="paragraph" w:customStyle="1" w:styleId="ds-markdown-paragraph">
    <w:name w:val="ds-markdown-paragraph"/>
    <w:basedOn w:val="Normal"/>
    <w:rsid w:val="00182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68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3224</TotalTime>
  <Pages>6</Pages>
  <Words>1686</Words>
  <Characters>9105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</cp:lastModifiedBy>
  <cp:revision>12</cp:revision>
  <dcterms:created xsi:type="dcterms:W3CDTF">2026-07-27T17:34:00Z</dcterms:created>
  <dcterms:modified xsi:type="dcterms:W3CDTF">2026-07-29T23:34:00Z</dcterms:modified>
</cp:coreProperties>
</file>