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EE6F" w14:textId="41B3713C" w:rsidR="003D1EAC" w:rsidRDefault="00F33854">
      <w:pPr>
        <w:keepLines/>
        <w:widowControl w:val="0"/>
        <w:spacing w:line="240" w:lineRule="auto"/>
        <w:jc w:val="center"/>
        <w:rPr>
          <w:sz w:val="24"/>
          <w:szCs w:val="24"/>
        </w:rPr>
      </w:pPr>
      <w:r w:rsidRPr="00F33854">
        <w:rPr>
          <w:b/>
          <w:bCs/>
          <w:sz w:val="24"/>
          <w:szCs w:val="24"/>
        </w:rPr>
        <w:t xml:space="preserve">CONVERSATÓRIO 01 - EDUCAÇÃO INDÍGENA, EDUCAÇÃO ESCOLAR INDÍGENA E INTERCULTURALIDADE: NARRATIVAS, EXPERIÊNCIAS E CAMINHOS DE TRANSFORMAÇÃO </w:t>
      </w:r>
    </w:p>
    <w:p w14:paraId="1A2003C6" w14:textId="77777777" w:rsidR="003D1EAC" w:rsidRDefault="003D1EAC">
      <w:pPr>
        <w:keepLines/>
        <w:widowControl w:val="0"/>
        <w:spacing w:line="240" w:lineRule="auto"/>
        <w:rPr>
          <w:b/>
          <w:bCs/>
          <w:sz w:val="24"/>
          <w:szCs w:val="24"/>
        </w:rPr>
      </w:pPr>
    </w:p>
    <w:p w14:paraId="593D8889" w14:textId="77777777" w:rsidR="003D1EAC" w:rsidRDefault="003D1EAC">
      <w:pPr>
        <w:keepLines/>
        <w:widowControl w:val="0"/>
        <w:spacing w:line="240" w:lineRule="auto"/>
        <w:rPr>
          <w:b/>
          <w:bCs/>
          <w:sz w:val="24"/>
          <w:szCs w:val="24"/>
        </w:rPr>
      </w:pPr>
    </w:p>
    <w:p w14:paraId="20F1FE4D" w14:textId="7244A9E6" w:rsidR="00F33854" w:rsidRPr="005E0E24" w:rsidRDefault="00F33854" w:rsidP="00F33854">
      <w:pPr>
        <w:spacing w:line="360" w:lineRule="auto"/>
        <w:jc w:val="center"/>
        <w:rPr>
          <w:b/>
          <w:bCs/>
          <w:sz w:val="24"/>
          <w:szCs w:val="24"/>
        </w:rPr>
      </w:pPr>
      <w:r w:rsidRPr="005E0E24">
        <w:rPr>
          <w:b/>
          <w:bCs/>
          <w:sz w:val="24"/>
          <w:szCs w:val="24"/>
        </w:rPr>
        <w:t xml:space="preserve">Apagamento histórico e memória viva: </w:t>
      </w:r>
      <w:r>
        <w:rPr>
          <w:b/>
          <w:bCs/>
          <w:sz w:val="24"/>
          <w:szCs w:val="24"/>
        </w:rPr>
        <w:t>L</w:t>
      </w:r>
      <w:r w:rsidRPr="005E0E24">
        <w:rPr>
          <w:b/>
          <w:bCs/>
          <w:sz w:val="24"/>
          <w:szCs w:val="24"/>
        </w:rPr>
        <w:t xml:space="preserve">aços da ancestralidade indígena em Mutuípe e </w:t>
      </w:r>
      <w:r>
        <w:rPr>
          <w:b/>
          <w:bCs/>
          <w:sz w:val="24"/>
          <w:szCs w:val="24"/>
        </w:rPr>
        <w:t>Ji</w:t>
      </w:r>
      <w:r w:rsidRPr="005E0E24">
        <w:rPr>
          <w:b/>
          <w:bCs/>
          <w:sz w:val="24"/>
          <w:szCs w:val="24"/>
        </w:rPr>
        <w:t>quiriçá-</w:t>
      </w:r>
      <w:r>
        <w:rPr>
          <w:b/>
          <w:bCs/>
          <w:sz w:val="24"/>
          <w:szCs w:val="24"/>
        </w:rPr>
        <w:t>BA</w:t>
      </w:r>
    </w:p>
    <w:p w14:paraId="28ABE628" w14:textId="7EB5A3D0" w:rsidR="003D1EAC" w:rsidRDefault="003D1EAC">
      <w:pPr>
        <w:keepLines/>
        <w:widowControl w:val="0"/>
        <w:spacing w:line="240" w:lineRule="auto"/>
        <w:jc w:val="center"/>
        <w:rPr>
          <w:b/>
          <w:bCs/>
          <w:sz w:val="24"/>
          <w:szCs w:val="24"/>
        </w:rPr>
      </w:pPr>
    </w:p>
    <w:p w14:paraId="3B3168E7" w14:textId="77777777" w:rsidR="003D1EAC" w:rsidRDefault="003D1EAC">
      <w:pPr>
        <w:keepLines/>
        <w:widowControl w:val="0"/>
        <w:spacing w:line="240" w:lineRule="auto"/>
        <w:jc w:val="right"/>
        <w:rPr>
          <w:sz w:val="24"/>
          <w:szCs w:val="24"/>
        </w:rPr>
      </w:pPr>
    </w:p>
    <w:p w14:paraId="78149F86" w14:textId="77777777" w:rsidR="00F33854" w:rsidRPr="00F33854" w:rsidRDefault="00F33854" w:rsidP="00F33854">
      <w:pPr>
        <w:spacing w:line="360" w:lineRule="auto"/>
        <w:jc w:val="right"/>
        <w:rPr>
          <w:sz w:val="24"/>
          <w:szCs w:val="24"/>
        </w:rPr>
      </w:pPr>
      <w:r w:rsidRPr="00F33854">
        <w:rPr>
          <w:sz w:val="24"/>
          <w:szCs w:val="24"/>
        </w:rPr>
        <w:t xml:space="preserve">Maria </w:t>
      </w:r>
      <w:proofErr w:type="spellStart"/>
      <w:r w:rsidRPr="00F33854">
        <w:rPr>
          <w:sz w:val="24"/>
          <w:szCs w:val="24"/>
        </w:rPr>
        <w:t>Joselene</w:t>
      </w:r>
      <w:proofErr w:type="spellEnd"/>
      <w:r w:rsidRPr="00F33854">
        <w:rPr>
          <w:sz w:val="24"/>
          <w:szCs w:val="24"/>
        </w:rPr>
        <w:t xml:space="preserve"> de Quadros Reis Borges</w:t>
      </w:r>
    </w:p>
    <w:p w14:paraId="4A38BD82" w14:textId="6223B9EA" w:rsidR="00F33854" w:rsidRPr="00F33854" w:rsidRDefault="00F33854" w:rsidP="00F33854">
      <w:pPr>
        <w:spacing w:line="360" w:lineRule="auto"/>
        <w:jc w:val="right"/>
        <w:rPr>
          <w:sz w:val="24"/>
          <w:szCs w:val="24"/>
        </w:rPr>
      </w:pPr>
      <w:r w:rsidRPr="00F33854">
        <w:rPr>
          <w:sz w:val="24"/>
          <w:szCs w:val="24"/>
        </w:rPr>
        <w:t xml:space="preserve">Universidade Federal da Bahia </w:t>
      </w:r>
      <w:r>
        <w:rPr>
          <w:sz w:val="24"/>
          <w:szCs w:val="24"/>
        </w:rPr>
        <w:t>-</w:t>
      </w:r>
      <w:r w:rsidRPr="00F33854">
        <w:rPr>
          <w:sz w:val="24"/>
          <w:szCs w:val="24"/>
        </w:rPr>
        <w:t>UFBA</w:t>
      </w:r>
      <w:r>
        <w:rPr>
          <w:sz w:val="24"/>
          <w:szCs w:val="24"/>
        </w:rPr>
        <w:t>, lene_lx@hotmail.com</w:t>
      </w:r>
    </w:p>
    <w:p w14:paraId="1FF49A8D" w14:textId="77777777" w:rsidR="003D1EAC" w:rsidRDefault="003D1EAC">
      <w:pPr>
        <w:keepLines/>
        <w:widowControl w:val="0"/>
        <w:spacing w:line="240" w:lineRule="auto"/>
        <w:rPr>
          <w:sz w:val="24"/>
          <w:szCs w:val="24"/>
        </w:rPr>
      </w:pPr>
    </w:p>
    <w:p w14:paraId="05D9C6ED" w14:textId="77777777" w:rsidR="003D1EAC" w:rsidRDefault="003D1EAC">
      <w:pPr>
        <w:keepLines/>
        <w:widowControl w:val="0"/>
        <w:spacing w:line="240" w:lineRule="auto"/>
        <w:rPr>
          <w:sz w:val="24"/>
          <w:szCs w:val="24"/>
        </w:rPr>
      </w:pPr>
    </w:p>
    <w:p w14:paraId="0EB13251" w14:textId="77777777" w:rsidR="003D1EAC" w:rsidRDefault="003D1EAC">
      <w:pPr>
        <w:keepLines/>
        <w:widowControl w:val="0"/>
        <w:spacing w:line="360" w:lineRule="auto"/>
        <w:rPr>
          <w:b/>
          <w:bCs/>
          <w:sz w:val="24"/>
          <w:szCs w:val="24"/>
        </w:rPr>
      </w:pPr>
    </w:p>
    <w:p w14:paraId="3EE3F417" w14:textId="77777777" w:rsidR="003D1EAC" w:rsidRDefault="00000000">
      <w:pPr>
        <w:keepLines/>
        <w:widowControl w:val="0"/>
        <w:spacing w:line="360" w:lineRule="auto"/>
        <w:rPr>
          <w:b/>
          <w:bCs/>
          <w:sz w:val="24"/>
          <w:szCs w:val="24"/>
        </w:rPr>
      </w:pPr>
      <w:r>
        <w:rPr>
          <w:b/>
          <w:bCs/>
          <w:sz w:val="24"/>
          <w:szCs w:val="24"/>
        </w:rPr>
        <w:t>RESUMO</w:t>
      </w:r>
    </w:p>
    <w:p w14:paraId="4A17E5B4" w14:textId="77777777" w:rsidR="003D1EAC" w:rsidRDefault="003D1EAC">
      <w:pPr>
        <w:keepLines/>
        <w:widowControl w:val="0"/>
        <w:spacing w:line="360" w:lineRule="auto"/>
        <w:rPr>
          <w:b/>
          <w:bCs/>
          <w:sz w:val="24"/>
          <w:szCs w:val="24"/>
        </w:rPr>
      </w:pPr>
    </w:p>
    <w:p w14:paraId="42DC1CD2" w14:textId="114A75BD" w:rsidR="00F33854" w:rsidRDefault="00F33854" w:rsidP="00F33854">
      <w:pPr>
        <w:spacing w:line="360" w:lineRule="auto"/>
        <w:jc w:val="both"/>
        <w:rPr>
          <w:sz w:val="24"/>
          <w:szCs w:val="24"/>
        </w:rPr>
      </w:pPr>
      <w:r w:rsidRPr="00F07F16">
        <w:rPr>
          <w:sz w:val="24"/>
          <w:szCs w:val="24"/>
        </w:rPr>
        <w:t xml:space="preserve">A história dos municípios de Mutuípe e Jiquiriçá, no Vale do Jiquiriçá-BA, é marcada por uma profunda contradição: enquanto a toponímia originária e a cartografia colonial atestam uma presença indígena ancestral, os registros oficiais e a historiografia tradicional tendem a afirmar sua ausência ou extinção. Atualmente, embora Mutuípe e Jiquiriçá não possuam aldeias formalmente declaradas, o cotidiano e a cultura local permanecem permeados por saberes e práticas ligados à matriz indígena. </w:t>
      </w:r>
    </w:p>
    <w:p w14:paraId="69409E07" w14:textId="77777777" w:rsidR="00F33854" w:rsidRDefault="00F33854" w:rsidP="00F33854">
      <w:pPr>
        <w:spacing w:line="360" w:lineRule="auto"/>
        <w:jc w:val="both"/>
        <w:rPr>
          <w:sz w:val="24"/>
          <w:szCs w:val="24"/>
        </w:rPr>
      </w:pPr>
      <w:r w:rsidRPr="00F07F16">
        <w:rPr>
          <w:sz w:val="24"/>
          <w:szCs w:val="24"/>
        </w:rPr>
        <w:t xml:space="preserve">Diante desse cenário de silenciamento, a presente pesquisa investiga como a ancestralidade indígena nessas localidades foi registrada, invisibilizada, apagada/negada e transformada ao longo do tempo. Na maioria das vezes, os relatos contados na região preferem destacar apenas a chegada dos primeiros povoadores brancos, dos grandes fazendeiros ou dos comerciantes colonizadores como se fossem os únicos fundadores da sociedade local. Nesses relatos, o elemento indígena acaba sendo lembrado apenas para explicar a origem de uma palavra ou do nome de um rio ou cidade, como Jiquiriçá, que vem de </w:t>
      </w:r>
      <w:proofErr w:type="spellStart"/>
      <w:r w:rsidRPr="00F07F16">
        <w:rPr>
          <w:i/>
          <w:iCs/>
          <w:sz w:val="24"/>
          <w:szCs w:val="24"/>
        </w:rPr>
        <w:t>jiquir</w:t>
      </w:r>
      <w:proofErr w:type="spellEnd"/>
      <w:r w:rsidRPr="00F07F16">
        <w:rPr>
          <w:sz w:val="24"/>
          <w:szCs w:val="24"/>
        </w:rPr>
        <w:t xml:space="preserve"> e </w:t>
      </w:r>
      <w:r w:rsidRPr="00F07F16">
        <w:rPr>
          <w:i/>
          <w:iCs/>
          <w:sz w:val="24"/>
          <w:szCs w:val="24"/>
        </w:rPr>
        <w:t>içá</w:t>
      </w:r>
      <w:r w:rsidRPr="00F07F16">
        <w:rPr>
          <w:sz w:val="24"/>
          <w:szCs w:val="24"/>
        </w:rPr>
        <w:t xml:space="preserve">, e Mutuípe, associado às palavras </w:t>
      </w:r>
      <w:r w:rsidRPr="00F07F16">
        <w:rPr>
          <w:i/>
          <w:iCs/>
          <w:sz w:val="24"/>
          <w:szCs w:val="24"/>
        </w:rPr>
        <w:t>mutum</w:t>
      </w:r>
      <w:r w:rsidRPr="00F07F16">
        <w:rPr>
          <w:sz w:val="24"/>
          <w:szCs w:val="24"/>
        </w:rPr>
        <w:t xml:space="preserve"> e </w:t>
      </w:r>
      <w:proofErr w:type="spellStart"/>
      <w:r w:rsidRPr="00F07F16">
        <w:rPr>
          <w:i/>
          <w:iCs/>
          <w:sz w:val="24"/>
          <w:szCs w:val="24"/>
        </w:rPr>
        <w:t>ipe</w:t>
      </w:r>
      <w:proofErr w:type="spellEnd"/>
      <w:r w:rsidRPr="00F07F16">
        <w:rPr>
          <w:sz w:val="24"/>
          <w:szCs w:val="24"/>
        </w:rPr>
        <w:t xml:space="preserve">. </w:t>
      </w:r>
    </w:p>
    <w:p w14:paraId="2F3A5B0F" w14:textId="70939824" w:rsidR="00F33854" w:rsidRPr="00F07F16" w:rsidRDefault="00F33854" w:rsidP="00F33854">
      <w:pPr>
        <w:spacing w:line="360" w:lineRule="auto"/>
        <w:jc w:val="both"/>
        <w:rPr>
          <w:sz w:val="24"/>
          <w:szCs w:val="24"/>
        </w:rPr>
      </w:pPr>
      <w:r w:rsidRPr="00F07F16">
        <w:rPr>
          <w:sz w:val="24"/>
          <w:szCs w:val="24"/>
        </w:rPr>
        <w:t xml:space="preserve">No entanto, ao pesquisar documentos antigos dos séculos XVIII e XIX em acervos como o Arquivo Público da Bahia e a Biblioteca Nacional, descobre-se uma história muito mais rica e movimentada. Os papéis da época provam que a população nativa viveu, circulou, trabalhou e resistiu em todo o Vale do Jiquiriçá. Há registros de </w:t>
      </w:r>
      <w:r w:rsidRPr="00F07F16">
        <w:rPr>
          <w:sz w:val="24"/>
          <w:szCs w:val="24"/>
        </w:rPr>
        <w:lastRenderedPageBreak/>
        <w:t xml:space="preserve">aldeamentos importantes, como a Aldeia de Nossa Senhora dos Prazeres e o aldeamento de Jequiriçá, além de relatos de revoltas organizadas pelos próprios indígenas contra os abusos das autoridades coloniais. Por isso, este estudo busca aproximar esses documentos históricos da memória falada pelos moradores, ajudando a preencher as lacunas deixadas pela história oficial. </w:t>
      </w:r>
    </w:p>
    <w:p w14:paraId="5FF1685F" w14:textId="77777777" w:rsidR="00F33854" w:rsidRDefault="00F33854" w:rsidP="00F33854">
      <w:pPr>
        <w:spacing w:line="360" w:lineRule="auto"/>
        <w:jc w:val="both"/>
        <w:rPr>
          <w:sz w:val="24"/>
          <w:szCs w:val="24"/>
        </w:rPr>
      </w:pPr>
      <w:r w:rsidRPr="00F07F16">
        <w:rPr>
          <w:sz w:val="24"/>
          <w:szCs w:val="24"/>
        </w:rPr>
        <w:t>Para analisar as dinâmicas de silenciamento e permanência cultural, o trabalho apoia-se em arcabouço multidisciplinar. As discussões sobre memória coletiva, esquecimento e silêncio (</w:t>
      </w:r>
      <w:proofErr w:type="spellStart"/>
      <w:r w:rsidRPr="00F07F16">
        <w:rPr>
          <w:sz w:val="24"/>
          <w:szCs w:val="24"/>
        </w:rPr>
        <w:t>Halbwachs</w:t>
      </w:r>
      <w:proofErr w:type="spellEnd"/>
      <w:r w:rsidRPr="00F07F16">
        <w:rPr>
          <w:sz w:val="24"/>
          <w:szCs w:val="24"/>
        </w:rPr>
        <w:t xml:space="preserve">, 2006; </w:t>
      </w:r>
      <w:proofErr w:type="spellStart"/>
      <w:r w:rsidRPr="00F07F16">
        <w:rPr>
          <w:sz w:val="24"/>
          <w:szCs w:val="24"/>
        </w:rPr>
        <w:t>Pollak</w:t>
      </w:r>
      <w:proofErr w:type="spellEnd"/>
      <w:r w:rsidRPr="00F07F16">
        <w:rPr>
          <w:sz w:val="24"/>
          <w:szCs w:val="24"/>
        </w:rPr>
        <w:t xml:space="preserve">, 1989; Ricoeur, 2007) revelam que a memória é uma construção social atravessada por disputas de sentido e memórias subterrâneas. </w:t>
      </w:r>
      <w:proofErr w:type="spellStart"/>
      <w:r w:rsidRPr="00F07F16">
        <w:rPr>
          <w:sz w:val="24"/>
          <w:szCs w:val="24"/>
        </w:rPr>
        <w:t>Ecléa</w:t>
      </w:r>
      <w:proofErr w:type="spellEnd"/>
      <w:r w:rsidRPr="00F07F16">
        <w:rPr>
          <w:sz w:val="24"/>
          <w:szCs w:val="24"/>
        </w:rPr>
        <w:t xml:space="preserve"> Bosi (1994) e Jo</w:t>
      </w:r>
      <w:r>
        <w:rPr>
          <w:sz w:val="24"/>
          <w:szCs w:val="24"/>
        </w:rPr>
        <w:t>e</w:t>
      </w:r>
      <w:r w:rsidRPr="00F07F16">
        <w:rPr>
          <w:sz w:val="24"/>
          <w:szCs w:val="24"/>
        </w:rPr>
        <w:t xml:space="preserve">l Candau (2012) destacam a relevância da memória oral e da transmissão intergeracional na recuperação de modos de vida marginalizados, enquanto Beatriz Sarlo (2007) enfatiza o valor do testemunho. </w:t>
      </w:r>
    </w:p>
    <w:p w14:paraId="6CC41FE5" w14:textId="70EA19EC" w:rsidR="00F33854" w:rsidRPr="00F07F16" w:rsidRDefault="00F33854" w:rsidP="00F33854">
      <w:pPr>
        <w:spacing w:line="360" w:lineRule="auto"/>
        <w:jc w:val="both"/>
        <w:rPr>
          <w:sz w:val="24"/>
          <w:szCs w:val="24"/>
        </w:rPr>
      </w:pPr>
      <w:r w:rsidRPr="00F07F16">
        <w:rPr>
          <w:sz w:val="24"/>
          <w:szCs w:val="24"/>
        </w:rPr>
        <w:t xml:space="preserve">O conceito de ancestralidade é abordado como elo vital e dinâmico entre passado, presente e futuro, orientando práticas sociais, espirituais e territoriais (Sodré, 1999; Oliveira, 2018). As noções de identidade em Stuart Hall (2006) e de hibridização cultural em Néstor García Canclini (2005) permitem compreender como marcas originárias subsistem no cotidiano rural, em curadores, benzedeiros e "gente da roça", ainda que sem autoidentificação étnica formal. A crítica ao apagamento historiográfico fundamenta-se em Manuela Carneiro da Cunha (1992), João Pacheco de Oliveira (2004, 2016) e John Manuel Monteiro (1994). </w:t>
      </w:r>
    </w:p>
    <w:p w14:paraId="3B087F0A" w14:textId="0EDA1DF8" w:rsidR="00F33854" w:rsidRPr="00F07F16" w:rsidRDefault="00F33854" w:rsidP="00F33854">
      <w:pPr>
        <w:spacing w:line="360" w:lineRule="auto"/>
        <w:jc w:val="both"/>
        <w:rPr>
          <w:sz w:val="24"/>
          <w:szCs w:val="24"/>
        </w:rPr>
      </w:pPr>
      <w:r w:rsidRPr="00F07F16">
        <w:rPr>
          <w:sz w:val="24"/>
          <w:szCs w:val="24"/>
        </w:rPr>
        <w:t xml:space="preserve">Nesse âmbito, o objetivo geral </w:t>
      </w:r>
      <w:r>
        <w:rPr>
          <w:sz w:val="24"/>
          <w:szCs w:val="24"/>
        </w:rPr>
        <w:t xml:space="preserve">dessa pesquisa </w:t>
      </w:r>
      <w:r w:rsidRPr="00F07F16">
        <w:rPr>
          <w:sz w:val="24"/>
          <w:szCs w:val="24"/>
        </w:rPr>
        <w:t xml:space="preserve">é compreender as manifestações da ancestralidade indígena na memória dos mais velhos e nos saberes tradicionais de Mutuípe e Jiquiriçá-BA. Especificamente, busca-se mapear narrativas de vida e saberes locais (cura, religiosidade popular, agricultura e cotidiano) que indiquem marcas da ancestralidade indígena, analisar mecanismos históricos e sociais no processo de apagamento e silenciamento dessas memórias na região, além de refletir sobre a visibilização da ancestralidade indígena como forma de resistência cultural no Vale do Jiquiriçá. </w:t>
      </w:r>
    </w:p>
    <w:p w14:paraId="4D90E509" w14:textId="77777777" w:rsidR="00806A33" w:rsidRDefault="00F33854" w:rsidP="00F33854">
      <w:pPr>
        <w:keepLines/>
        <w:widowControl w:val="0"/>
        <w:spacing w:line="360" w:lineRule="auto"/>
        <w:jc w:val="both"/>
        <w:rPr>
          <w:sz w:val="24"/>
          <w:szCs w:val="24"/>
        </w:rPr>
      </w:pPr>
      <w:r w:rsidRPr="00F07F16">
        <w:rPr>
          <w:sz w:val="24"/>
          <w:szCs w:val="24"/>
        </w:rPr>
        <w:lastRenderedPageBreak/>
        <w:t xml:space="preserve">Para o alcance dessas metas, adota-se uma pesquisa qualitativa, exploratória e descritiva. A metodologia </w:t>
      </w:r>
      <w:r w:rsidR="00806A33">
        <w:rPr>
          <w:sz w:val="24"/>
          <w:szCs w:val="24"/>
        </w:rPr>
        <w:t xml:space="preserve">se </w:t>
      </w:r>
      <w:r w:rsidRPr="00F07F16">
        <w:rPr>
          <w:sz w:val="24"/>
          <w:szCs w:val="24"/>
        </w:rPr>
        <w:t>organiza a partir de levantamento bibliográfico e documental em acervos primários, como o APEB e a Biblioteca Nacional, analisando cartas, portarias e relatórios coloniais (Dias, 2007; Rego, 2009; Mott, 2010), além de memorialistas locais. Também se realiza uma prospecção antropológica baseada em observação participante em espaços comunitários e rurais (Geertz, 1989) e entrevistas semiestruturadas com foco em história oral (Bosi, 1994) junto a moradores idosos de 80 anos ou mais residentes na zona rural</w:t>
      </w:r>
      <w:r w:rsidR="00806A33">
        <w:rPr>
          <w:sz w:val="24"/>
          <w:szCs w:val="24"/>
        </w:rPr>
        <w:t xml:space="preserve"> das cidades supracitadas</w:t>
      </w:r>
      <w:r w:rsidRPr="00F07F16">
        <w:rPr>
          <w:sz w:val="24"/>
          <w:szCs w:val="24"/>
        </w:rPr>
        <w:t xml:space="preserve">. </w:t>
      </w:r>
    </w:p>
    <w:p w14:paraId="34C5BF86" w14:textId="1CAED4EF" w:rsidR="003D1EAC" w:rsidRDefault="00F33854" w:rsidP="00F33854">
      <w:pPr>
        <w:keepLines/>
        <w:widowControl w:val="0"/>
        <w:spacing w:line="360" w:lineRule="auto"/>
        <w:jc w:val="both"/>
        <w:rPr>
          <w:sz w:val="24"/>
          <w:szCs w:val="24"/>
        </w:rPr>
      </w:pPr>
      <w:r w:rsidRPr="00F07F16">
        <w:rPr>
          <w:sz w:val="24"/>
          <w:szCs w:val="24"/>
        </w:rPr>
        <w:t xml:space="preserve">Os aspectos éticos serão assegurados pelo TCLE, anonimato e proteção de dados, integrando a análise da crítica histórica documental e a análise de conteúdo das narrativas orais. Como resultados esperados, </w:t>
      </w:r>
      <w:r w:rsidR="00806A33">
        <w:rPr>
          <w:sz w:val="24"/>
          <w:szCs w:val="24"/>
        </w:rPr>
        <w:t>pretende-se</w:t>
      </w:r>
      <w:r w:rsidRPr="00F07F16">
        <w:rPr>
          <w:sz w:val="24"/>
          <w:szCs w:val="24"/>
        </w:rPr>
        <w:t xml:space="preserve"> demonstrar que a ancestralidade indígena permanece viva na memória oral, nos saberes de cura e nos modos de vida rurais do Vale do Jiquiriçá, oferecendo subsídios para combater o apagamento historiográfico e valorizar a diversidade cultural regional.</w:t>
      </w:r>
    </w:p>
    <w:p w14:paraId="73FBD96D" w14:textId="77777777" w:rsidR="00806A33" w:rsidRDefault="00806A33">
      <w:pPr>
        <w:keepLines/>
        <w:widowControl w:val="0"/>
        <w:spacing w:line="360" w:lineRule="auto"/>
        <w:jc w:val="both"/>
        <w:rPr>
          <w:b/>
          <w:bCs/>
          <w:sz w:val="24"/>
          <w:szCs w:val="24"/>
        </w:rPr>
      </w:pPr>
    </w:p>
    <w:p w14:paraId="21513B6B" w14:textId="7A2B8E37" w:rsidR="003D1EAC" w:rsidRDefault="00000000">
      <w:pPr>
        <w:keepLines/>
        <w:widowControl w:val="0"/>
        <w:spacing w:line="360" w:lineRule="auto"/>
        <w:jc w:val="both"/>
        <w:rPr>
          <w:b/>
          <w:bCs/>
          <w:sz w:val="24"/>
          <w:szCs w:val="24"/>
        </w:rPr>
      </w:pPr>
      <w:r>
        <w:rPr>
          <w:b/>
          <w:bCs/>
          <w:sz w:val="24"/>
          <w:szCs w:val="24"/>
        </w:rPr>
        <w:t>PALAVRAS-CHAVE</w:t>
      </w:r>
    </w:p>
    <w:p w14:paraId="0AB27232" w14:textId="77777777" w:rsidR="00806A33" w:rsidRPr="00806A33" w:rsidRDefault="00806A33" w:rsidP="00806A33">
      <w:pPr>
        <w:spacing w:line="240" w:lineRule="auto"/>
        <w:jc w:val="both"/>
      </w:pPr>
      <w:r w:rsidRPr="00806A33">
        <w:t>Ancestralidade Indígena; Memória Coletiva; Apagamento Histórico; Vale do Jiquiriçá; Tradição Oral.</w:t>
      </w:r>
    </w:p>
    <w:p w14:paraId="3389AD12" w14:textId="77777777" w:rsidR="00806A33" w:rsidRDefault="00806A33">
      <w:pPr>
        <w:keepLines/>
        <w:widowControl w:val="0"/>
        <w:spacing w:line="360" w:lineRule="auto"/>
        <w:jc w:val="both"/>
        <w:rPr>
          <w:b/>
          <w:bCs/>
          <w:sz w:val="24"/>
          <w:szCs w:val="24"/>
        </w:rPr>
      </w:pPr>
    </w:p>
    <w:p w14:paraId="5FF3B98D" w14:textId="77777777" w:rsidR="003D1EAC" w:rsidRDefault="003D1EAC">
      <w:pPr>
        <w:keepLines/>
        <w:widowControl w:val="0"/>
        <w:spacing w:line="240" w:lineRule="auto"/>
        <w:rPr>
          <w:sz w:val="24"/>
          <w:szCs w:val="24"/>
        </w:rPr>
      </w:pPr>
    </w:p>
    <w:p w14:paraId="24224F62" w14:textId="77777777" w:rsidR="003D1EAC" w:rsidRDefault="003D1EAC">
      <w:pPr>
        <w:keepLines/>
        <w:widowControl w:val="0"/>
        <w:spacing w:line="240" w:lineRule="auto"/>
        <w:rPr>
          <w:b/>
          <w:bCs/>
          <w:sz w:val="24"/>
          <w:szCs w:val="24"/>
        </w:rPr>
      </w:pPr>
    </w:p>
    <w:p w14:paraId="534C316D" w14:textId="77777777" w:rsidR="003D1EAC" w:rsidRDefault="00000000">
      <w:pPr>
        <w:keepLines/>
        <w:widowControl w:val="0"/>
        <w:spacing w:line="240" w:lineRule="auto"/>
        <w:rPr>
          <w:sz w:val="24"/>
          <w:szCs w:val="24"/>
        </w:rPr>
      </w:pPr>
      <w:r>
        <w:rPr>
          <w:b/>
          <w:bCs/>
          <w:sz w:val="24"/>
          <w:szCs w:val="24"/>
        </w:rPr>
        <w:t>REFERÊNCIAS</w:t>
      </w:r>
      <w:r>
        <w:rPr>
          <w:sz w:val="24"/>
          <w:szCs w:val="24"/>
        </w:rPr>
        <w:t xml:space="preserve"> </w:t>
      </w:r>
    </w:p>
    <w:p w14:paraId="002FA0AC" w14:textId="77777777" w:rsidR="003D1EAC" w:rsidRDefault="003D1EAC"/>
    <w:p w14:paraId="274556C6" w14:textId="77777777" w:rsidR="00806A33" w:rsidRPr="00806A33" w:rsidRDefault="00806A33" w:rsidP="00806A33">
      <w:r w:rsidRPr="00806A33">
        <w:t xml:space="preserve">BOSI, </w:t>
      </w:r>
      <w:proofErr w:type="spellStart"/>
      <w:r w:rsidRPr="00806A33">
        <w:t>Ecléa</w:t>
      </w:r>
      <w:proofErr w:type="spellEnd"/>
      <w:r w:rsidRPr="00806A33">
        <w:t xml:space="preserve">. </w:t>
      </w:r>
      <w:r w:rsidRPr="00806A33">
        <w:rPr>
          <w:b/>
          <w:bCs/>
        </w:rPr>
        <w:t>Memória e sociedade</w:t>
      </w:r>
      <w:r w:rsidRPr="00806A33">
        <w:t xml:space="preserve">: lembranças de velhos. 3. ed. São Paulo: Companhia das Letras, 1994. </w:t>
      </w:r>
    </w:p>
    <w:p w14:paraId="2A1EB83B" w14:textId="77777777" w:rsidR="00806A33" w:rsidRPr="00806A33" w:rsidRDefault="00806A33" w:rsidP="00806A33">
      <w:r w:rsidRPr="00806A33">
        <w:t xml:space="preserve">BRASIL. Ministério da Educação e Saúde. Biblioteca Nacional. </w:t>
      </w:r>
      <w:r w:rsidRPr="00806A33">
        <w:rPr>
          <w:b/>
          <w:bCs/>
        </w:rPr>
        <w:t>Documentos históricos</w:t>
      </w:r>
      <w:r w:rsidRPr="00806A33">
        <w:t xml:space="preserve">: cartas, patentes e provisões (1725-1728); portarias, ordens, regimentos (1732). Vol. LXXV. Rio de Janeiro: Tipografia Baptista de Souza, 1947. </w:t>
      </w:r>
    </w:p>
    <w:p w14:paraId="778E8227" w14:textId="77777777" w:rsidR="00806A33" w:rsidRPr="00806A33" w:rsidRDefault="00806A33" w:rsidP="00806A33">
      <w:r w:rsidRPr="00806A33">
        <w:t xml:space="preserve">CANCLINI, Néstor García. </w:t>
      </w:r>
      <w:r w:rsidRPr="00806A33">
        <w:rPr>
          <w:b/>
          <w:bCs/>
        </w:rPr>
        <w:t>Culturas híbridas</w:t>
      </w:r>
      <w:r w:rsidRPr="00806A33">
        <w:t xml:space="preserve">: estratégias para entrar e sair da modernidade. 4. ed. São Paulo: Edusp, 2005. </w:t>
      </w:r>
    </w:p>
    <w:p w14:paraId="31240064" w14:textId="39F41A48" w:rsidR="00806A33" w:rsidRPr="00806A33" w:rsidRDefault="00806A33" w:rsidP="00806A33">
      <w:r w:rsidRPr="00806A33">
        <w:t>CANDAU, Jo</w:t>
      </w:r>
      <w:r>
        <w:t>e</w:t>
      </w:r>
      <w:r w:rsidRPr="00806A33">
        <w:t xml:space="preserve">l. </w:t>
      </w:r>
      <w:r w:rsidRPr="00806A33">
        <w:rPr>
          <w:b/>
          <w:bCs/>
        </w:rPr>
        <w:t>Memória e identidade</w:t>
      </w:r>
      <w:r w:rsidRPr="00806A33">
        <w:t xml:space="preserve">. São Paulo: Contexto, 2012. </w:t>
      </w:r>
    </w:p>
    <w:p w14:paraId="4D2FB74C" w14:textId="77777777" w:rsidR="00806A33" w:rsidRPr="00806A33" w:rsidRDefault="00806A33" w:rsidP="00806A33">
      <w:r w:rsidRPr="00806A33">
        <w:t xml:space="preserve">CUNHA, Manuela Carneiro da (org.). </w:t>
      </w:r>
      <w:r w:rsidRPr="00806A33">
        <w:rPr>
          <w:b/>
          <w:bCs/>
        </w:rPr>
        <w:t>História dos índios no Brasil</w:t>
      </w:r>
      <w:r w:rsidRPr="00806A33">
        <w:t xml:space="preserve">. São Paulo: Companhia das Letras, 1992. </w:t>
      </w:r>
    </w:p>
    <w:p w14:paraId="3A97B693" w14:textId="77777777" w:rsidR="00806A33" w:rsidRPr="00806A33" w:rsidRDefault="00806A33" w:rsidP="00806A33">
      <w:r w:rsidRPr="00806A33">
        <w:t xml:space="preserve">DIAS, Marcelo Henrique. </w:t>
      </w:r>
      <w:r w:rsidRPr="00806A33">
        <w:rPr>
          <w:b/>
          <w:bCs/>
        </w:rPr>
        <w:t>Economia, sociedade e paisagens da capitania e comarca de Ilhéus no período colonial</w:t>
      </w:r>
      <w:r w:rsidRPr="00806A33">
        <w:t xml:space="preserve">. Tese (Doutorado em História) – Universidade Federal Fluminense, Niterói, 2007. </w:t>
      </w:r>
    </w:p>
    <w:p w14:paraId="694408AE" w14:textId="77777777" w:rsidR="00806A33" w:rsidRPr="00806A33" w:rsidRDefault="00806A33" w:rsidP="00806A33">
      <w:r w:rsidRPr="00806A33">
        <w:t xml:space="preserve">GEERTZ, Clifford. </w:t>
      </w:r>
      <w:r w:rsidRPr="00806A33">
        <w:rPr>
          <w:b/>
          <w:bCs/>
        </w:rPr>
        <w:t>A interpretação das culturas</w:t>
      </w:r>
      <w:r w:rsidRPr="00806A33">
        <w:t xml:space="preserve">. Rio de Janeiro: LTC, 1989. </w:t>
      </w:r>
    </w:p>
    <w:p w14:paraId="720DEEE6" w14:textId="77777777" w:rsidR="00806A33" w:rsidRPr="00806A33" w:rsidRDefault="00806A33" w:rsidP="00806A33">
      <w:r w:rsidRPr="00806A33">
        <w:t xml:space="preserve">HALBWACHS, Maurice. </w:t>
      </w:r>
      <w:r w:rsidRPr="00806A33">
        <w:rPr>
          <w:b/>
          <w:bCs/>
        </w:rPr>
        <w:t>A memória coletiva</w:t>
      </w:r>
      <w:r w:rsidRPr="00806A33">
        <w:t xml:space="preserve">. 2. ed. São Paulo: Centauro, 2006. </w:t>
      </w:r>
    </w:p>
    <w:p w14:paraId="1B92D8C8" w14:textId="77777777" w:rsidR="00806A33" w:rsidRPr="00806A33" w:rsidRDefault="00806A33" w:rsidP="00806A33">
      <w:r w:rsidRPr="00806A33">
        <w:lastRenderedPageBreak/>
        <w:t xml:space="preserve">HALL, Stuart. </w:t>
      </w:r>
      <w:r w:rsidRPr="00806A33">
        <w:rPr>
          <w:b/>
          <w:bCs/>
        </w:rPr>
        <w:t>A identidade cultural na pós-modernidade</w:t>
      </w:r>
      <w:r w:rsidRPr="00806A33">
        <w:t xml:space="preserve">. 11. ed. Rio de Janeiro: DP&amp;A, 2006. </w:t>
      </w:r>
    </w:p>
    <w:p w14:paraId="6B93216F" w14:textId="77777777" w:rsidR="00806A33" w:rsidRPr="00806A33" w:rsidRDefault="00806A33" w:rsidP="00806A33">
      <w:r w:rsidRPr="00806A33">
        <w:t xml:space="preserve">MOTT, Luiz. </w:t>
      </w:r>
      <w:r w:rsidRPr="00806A33">
        <w:rPr>
          <w:b/>
          <w:bCs/>
        </w:rPr>
        <w:t>Bahia</w:t>
      </w:r>
      <w:r w:rsidRPr="00806A33">
        <w:t xml:space="preserve">: inquisição &amp; sociedade. Salvador: EDUFBA, 2010. </w:t>
      </w:r>
    </w:p>
    <w:p w14:paraId="067682AF" w14:textId="77777777" w:rsidR="00806A33" w:rsidRPr="00806A33" w:rsidRDefault="00806A33" w:rsidP="00806A33">
      <w:r w:rsidRPr="00806A33">
        <w:t xml:space="preserve">OLIVEIRA, João Pacheco de. </w:t>
      </w:r>
      <w:r w:rsidRPr="00806A33">
        <w:rPr>
          <w:b/>
          <w:bCs/>
        </w:rPr>
        <w:t>O nascimento do Brasil e outros ensaios</w:t>
      </w:r>
      <w:r w:rsidRPr="00806A33">
        <w:t xml:space="preserve">. Rio de Janeiro: Contra Capa, 2016. </w:t>
      </w:r>
    </w:p>
    <w:p w14:paraId="0B8021A9" w14:textId="77777777" w:rsidR="00806A33" w:rsidRPr="00806A33" w:rsidRDefault="00806A33" w:rsidP="00806A33">
      <w:r w:rsidRPr="00806A33">
        <w:t xml:space="preserve">POLLAK, Michael. Memória, esquecimento, silêncio. </w:t>
      </w:r>
      <w:r w:rsidRPr="00806A33">
        <w:rPr>
          <w:b/>
          <w:bCs/>
        </w:rPr>
        <w:t>Estudos Históricos</w:t>
      </w:r>
      <w:r w:rsidRPr="00806A33">
        <w:t xml:space="preserve">, v. 2, n. 3, p. 3-15, 1989. </w:t>
      </w:r>
    </w:p>
    <w:p w14:paraId="4D97F8B5" w14:textId="77777777" w:rsidR="00806A33" w:rsidRPr="00806A33" w:rsidRDefault="00806A33" w:rsidP="00806A33">
      <w:r w:rsidRPr="00806A33">
        <w:t xml:space="preserve">REGO, André de Almeida. </w:t>
      </w:r>
      <w:proofErr w:type="spellStart"/>
      <w:r w:rsidRPr="00806A33">
        <w:rPr>
          <w:b/>
          <w:bCs/>
        </w:rPr>
        <w:t>Cabilda</w:t>
      </w:r>
      <w:proofErr w:type="spellEnd"/>
      <w:r w:rsidRPr="00806A33">
        <w:rPr>
          <w:b/>
          <w:bCs/>
        </w:rPr>
        <w:t xml:space="preserve"> de facinorosos moradores</w:t>
      </w:r>
      <w:r w:rsidRPr="00806A33">
        <w:t xml:space="preserve">: a revolta dos índios da Pedra Branca de 1834. Dissertação (Mestrado em História) – Universidade Federal da Bahia, Salvador, 2009. </w:t>
      </w:r>
    </w:p>
    <w:p w14:paraId="5A2D06F4" w14:textId="77777777" w:rsidR="00806A33" w:rsidRPr="00806A33" w:rsidRDefault="00806A33" w:rsidP="00806A33">
      <w:r w:rsidRPr="00806A33">
        <w:t xml:space="preserve">RICOEUR, Paul. </w:t>
      </w:r>
      <w:r w:rsidRPr="00806A33">
        <w:rPr>
          <w:b/>
          <w:bCs/>
        </w:rPr>
        <w:t>A memória, a história, o esquecimento</w:t>
      </w:r>
      <w:r w:rsidRPr="00806A33">
        <w:t xml:space="preserve">. Campinas: Editora da Unicamp, 2007. </w:t>
      </w:r>
    </w:p>
    <w:p w14:paraId="0C709842" w14:textId="77777777" w:rsidR="00806A33" w:rsidRPr="00806A33" w:rsidRDefault="00806A33" w:rsidP="00806A33">
      <w:r w:rsidRPr="00806A33">
        <w:t xml:space="preserve">SARLO, Beatriz. </w:t>
      </w:r>
      <w:r w:rsidRPr="00806A33">
        <w:rPr>
          <w:b/>
          <w:bCs/>
        </w:rPr>
        <w:t>Tempo passado</w:t>
      </w:r>
      <w:r w:rsidRPr="00806A33">
        <w:t xml:space="preserve">: cultura da memória e guinada subjetiva. São Paulo: Companhia das Letras, 2007. </w:t>
      </w:r>
    </w:p>
    <w:p w14:paraId="568DD8BE" w14:textId="77777777" w:rsidR="00806A33" w:rsidRPr="00806A33" w:rsidRDefault="00806A33" w:rsidP="00806A33">
      <w:r w:rsidRPr="00806A33">
        <w:t xml:space="preserve">SODRÉ, Muniz. </w:t>
      </w:r>
      <w:r w:rsidRPr="00806A33">
        <w:rPr>
          <w:b/>
          <w:bCs/>
        </w:rPr>
        <w:t>O terreiro e a cidade</w:t>
      </w:r>
      <w:r w:rsidRPr="00806A33">
        <w:t xml:space="preserve">: a forma social negro-brasileira. Petrópolis: Vozes, 1999. </w:t>
      </w:r>
    </w:p>
    <w:p w14:paraId="6952C495" w14:textId="77777777" w:rsidR="00806A33" w:rsidRDefault="00806A33"/>
    <w:p w14:paraId="3E33A400" w14:textId="77777777" w:rsidR="003D1EAC" w:rsidRDefault="003D1EAC">
      <w:pPr>
        <w:spacing w:after="200" w:line="240" w:lineRule="auto"/>
        <w:jc w:val="both"/>
        <w:rPr>
          <w:b/>
          <w:bCs/>
          <w:sz w:val="24"/>
          <w:szCs w:val="24"/>
        </w:rPr>
      </w:pPr>
    </w:p>
    <w:sectPr w:rsidR="003D1EAC">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06FA7" w14:textId="77777777" w:rsidR="004B6B4F" w:rsidRDefault="004B6B4F">
      <w:pPr>
        <w:spacing w:line="240" w:lineRule="auto"/>
      </w:pPr>
      <w:r>
        <w:separator/>
      </w:r>
    </w:p>
  </w:endnote>
  <w:endnote w:type="continuationSeparator" w:id="0">
    <w:p w14:paraId="6CFFC892" w14:textId="77777777" w:rsidR="004B6B4F" w:rsidRDefault="004B6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197744-E1E9-4F14-AC6F-6B350E7D3AB4}"/>
  </w:font>
  <w:font w:name="Cambria">
    <w:panose1 w:val="02040503050406030204"/>
    <w:charset w:val="00"/>
    <w:family w:val="roman"/>
    <w:pitch w:val="variable"/>
    <w:sig w:usb0="E00006FF" w:usb1="420024FF" w:usb2="02000000" w:usb3="00000000" w:csb0="0000019F" w:csb1="00000000"/>
    <w:embedRegular r:id="rId2" w:fontKey="{2E5404B0-4EE8-4203-93F0-649F8ADFD8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C024" w14:textId="77777777" w:rsidR="003D1EAC" w:rsidRDefault="00000000">
    <w:pPr>
      <w:jc w:val="center"/>
    </w:pPr>
    <w:r>
      <w:fldChar w:fldCharType="begin"/>
    </w:r>
    <w:r>
      <w:instrText>PAGE</w:instrText>
    </w:r>
    <w:r>
      <w:fldChar w:fldCharType="separate"/>
    </w:r>
    <w:r w:rsidR="00F3385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F389" w14:textId="77777777" w:rsidR="003D1EAC" w:rsidRDefault="003D1EA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3C60" w14:textId="77777777" w:rsidR="004B6B4F" w:rsidRDefault="004B6B4F">
      <w:pPr>
        <w:spacing w:line="240" w:lineRule="auto"/>
      </w:pPr>
      <w:r>
        <w:separator/>
      </w:r>
    </w:p>
  </w:footnote>
  <w:footnote w:type="continuationSeparator" w:id="0">
    <w:p w14:paraId="1160685F" w14:textId="77777777" w:rsidR="004B6B4F" w:rsidRDefault="004B6B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E2BD" w14:textId="77777777" w:rsidR="003D1EAC" w:rsidRDefault="00000000">
    <w:pPr>
      <w:jc w:val="right"/>
    </w:pPr>
    <w:r>
      <w:rPr>
        <w:noProof/>
      </w:rPr>
      <w:drawing>
        <wp:anchor distT="114300" distB="114300" distL="114300" distR="114300" simplePos="0" relativeHeight="251658240" behindDoc="1" locked="0" layoutInCell="1" hidden="0" allowOverlap="1" wp14:anchorId="6AC365CC" wp14:editId="65253FCA">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610D0BD0" wp14:editId="4C8B05D3">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299D61B3" w14:textId="77777777" w:rsidR="003D1EAC" w:rsidRDefault="003D1EAC">
    <w:pPr>
      <w:jc w:val="right"/>
    </w:pPr>
  </w:p>
  <w:p w14:paraId="15B9DF3B" w14:textId="77777777" w:rsidR="003D1EAC" w:rsidRDefault="003D1EAC">
    <w:pPr>
      <w:jc w:val="right"/>
    </w:pPr>
  </w:p>
  <w:p w14:paraId="16B58DB0" w14:textId="77777777" w:rsidR="003D1EAC" w:rsidRDefault="00000000">
    <w:r>
      <w:rPr>
        <w:noProof/>
      </w:rPr>
      <w:drawing>
        <wp:anchor distT="114300" distB="114300" distL="114300" distR="114300" simplePos="0" relativeHeight="251660288" behindDoc="1" locked="0" layoutInCell="1" hidden="0" allowOverlap="1" wp14:anchorId="0C6B52A3" wp14:editId="0C4DE8AC">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62D1" w14:textId="77777777" w:rsidR="003D1EAC" w:rsidRDefault="003D1EA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EAC"/>
    <w:rsid w:val="003D1EAC"/>
    <w:rsid w:val="004B6B4F"/>
    <w:rsid w:val="005565B7"/>
    <w:rsid w:val="00806A33"/>
    <w:rsid w:val="00F338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53CC"/>
  <w15:docId w15:val="{DA5BDA65-41E0-4DBF-B054-C4B54532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5983</Characters>
  <Application>Microsoft Office Word</Application>
  <DocSecurity>0</DocSecurity>
  <Lines>118</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dc:creator>
  <cp:lastModifiedBy>Leandro Borges</cp:lastModifiedBy>
  <cp:revision>2</cp:revision>
  <dcterms:created xsi:type="dcterms:W3CDTF">2026-07-30T00:40:00Z</dcterms:created>
  <dcterms:modified xsi:type="dcterms:W3CDTF">2026-07-30T00:40:00Z</dcterms:modified>
</cp:coreProperties>
</file>