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F8D7BE" w14:textId="2ABA9CE5" w:rsidR="00B45144" w:rsidRDefault="00E027A0">
      <w:pPr>
        <w:keepLines/>
        <w:widowControl w:val="0"/>
        <w:spacing w:line="240" w:lineRule="auto"/>
        <w:jc w:val="center"/>
        <w:rPr>
          <w:sz w:val="24"/>
          <w:szCs w:val="24"/>
        </w:rPr>
      </w:pPr>
      <w:bookmarkStart w:id="0" w:name="_GoBack"/>
      <w:bookmarkEnd w:id="0"/>
      <w:r w:rsidRPr="00E027A0">
        <w:rPr>
          <w:b/>
          <w:bCs/>
          <w:sz w:val="24"/>
          <w:szCs w:val="24"/>
        </w:rPr>
        <w:t xml:space="preserve">CONVERSATÓRIO 15 - GÊNERO, RAÇA E SEXUALIDADE NA EDUCAÇÃO: INTERSECCIONALIDADES, TERRITÓRIOS DE (RE)EXISTÊNCIA E PEDAGOGIAS DESOBEDIENTES </w:t>
      </w:r>
    </w:p>
    <w:p w14:paraId="66798131" w14:textId="77777777" w:rsidR="00B45144" w:rsidRDefault="00B45144">
      <w:pPr>
        <w:keepLines/>
        <w:widowControl w:val="0"/>
        <w:spacing w:line="240" w:lineRule="auto"/>
        <w:rPr>
          <w:b/>
          <w:bCs/>
          <w:sz w:val="24"/>
          <w:szCs w:val="24"/>
        </w:rPr>
      </w:pPr>
    </w:p>
    <w:p w14:paraId="5E5E27AA" w14:textId="77777777" w:rsidR="00B45144" w:rsidRDefault="00B45144">
      <w:pPr>
        <w:keepLines/>
        <w:widowControl w:val="0"/>
        <w:spacing w:line="240" w:lineRule="auto"/>
        <w:rPr>
          <w:b/>
          <w:bCs/>
          <w:sz w:val="24"/>
          <w:szCs w:val="24"/>
        </w:rPr>
      </w:pPr>
    </w:p>
    <w:p w14:paraId="5D24900E" w14:textId="6E3094F5" w:rsidR="00B45144" w:rsidRDefault="00E027A0">
      <w:pPr>
        <w:keepLines/>
        <w:widowControl w:val="0"/>
        <w:spacing w:line="240" w:lineRule="auto"/>
        <w:jc w:val="center"/>
        <w:rPr>
          <w:b/>
          <w:bCs/>
          <w:sz w:val="24"/>
          <w:szCs w:val="24"/>
        </w:rPr>
      </w:pPr>
      <w:r w:rsidRPr="00E027A0">
        <w:rPr>
          <w:b/>
          <w:bCs/>
          <w:sz w:val="24"/>
          <w:szCs w:val="24"/>
        </w:rPr>
        <w:t>TESSITURAS e a educação cidadã: texto literário e reflexão no cárcere em contexto de gênero, raça e sexualidade</w:t>
      </w:r>
    </w:p>
    <w:p w14:paraId="38304887" w14:textId="77777777" w:rsidR="00B45144" w:rsidRDefault="00B45144">
      <w:pPr>
        <w:keepLines/>
        <w:widowControl w:val="0"/>
        <w:spacing w:line="240" w:lineRule="auto"/>
        <w:rPr>
          <w:sz w:val="24"/>
          <w:szCs w:val="24"/>
        </w:rPr>
      </w:pPr>
    </w:p>
    <w:p w14:paraId="2F5B3BD6" w14:textId="77777777" w:rsidR="00B45144" w:rsidRDefault="00B45144">
      <w:pPr>
        <w:keepLines/>
        <w:widowControl w:val="0"/>
        <w:spacing w:line="240" w:lineRule="auto"/>
        <w:jc w:val="right"/>
        <w:rPr>
          <w:sz w:val="24"/>
          <w:szCs w:val="24"/>
        </w:rPr>
      </w:pPr>
    </w:p>
    <w:p w14:paraId="5A133D95" w14:textId="197F538D" w:rsidR="00B45144" w:rsidRDefault="00E027A0">
      <w:pPr>
        <w:keepLines/>
        <w:widowControl w:val="0"/>
        <w:spacing w:line="240" w:lineRule="auto"/>
        <w:jc w:val="right"/>
        <w:rPr>
          <w:sz w:val="24"/>
          <w:szCs w:val="24"/>
        </w:rPr>
      </w:pPr>
      <w:r>
        <w:rPr>
          <w:sz w:val="24"/>
          <w:szCs w:val="24"/>
        </w:rPr>
        <w:t>Leonice de Andrade Carvalho, IF Goiano – Campus Urutaí, Leonice.carvalho@ifgoiano.edu.br</w:t>
      </w:r>
    </w:p>
    <w:p w14:paraId="2F2E69DA" w14:textId="61F898BB" w:rsidR="00B45144" w:rsidRDefault="00E027A0">
      <w:pPr>
        <w:keepLines/>
        <w:widowControl w:val="0"/>
        <w:spacing w:line="240" w:lineRule="auto"/>
        <w:jc w:val="right"/>
        <w:rPr>
          <w:sz w:val="24"/>
          <w:szCs w:val="24"/>
        </w:rPr>
      </w:pPr>
      <w:r>
        <w:rPr>
          <w:sz w:val="24"/>
          <w:szCs w:val="24"/>
        </w:rPr>
        <w:t xml:space="preserve">Ricardo Adbar Carvalho Carmelo Costa, Polícia Penal do Estado de Goiás, </w:t>
      </w:r>
      <w:r w:rsidR="00A22FCE">
        <w:rPr>
          <w:sz w:val="24"/>
          <w:szCs w:val="24"/>
        </w:rPr>
        <w:t>ricardo_costa@gmail.com</w:t>
      </w:r>
    </w:p>
    <w:p w14:paraId="229F992D" w14:textId="16FDEC8C" w:rsidR="00B45144" w:rsidRDefault="00E027A0">
      <w:pPr>
        <w:keepLines/>
        <w:widowControl w:val="0"/>
        <w:spacing w:line="240" w:lineRule="auto"/>
        <w:jc w:val="right"/>
        <w:rPr>
          <w:sz w:val="24"/>
          <w:szCs w:val="24"/>
        </w:rPr>
      </w:pPr>
      <w:r>
        <w:rPr>
          <w:sz w:val="24"/>
          <w:szCs w:val="24"/>
        </w:rPr>
        <w:t xml:space="preserve">Maria Luiza </w:t>
      </w:r>
      <w:r w:rsidR="00A22FCE">
        <w:rPr>
          <w:sz w:val="24"/>
          <w:szCs w:val="24"/>
        </w:rPr>
        <w:t>José Marques</w:t>
      </w:r>
      <w:r>
        <w:rPr>
          <w:sz w:val="24"/>
          <w:szCs w:val="24"/>
        </w:rPr>
        <w:t xml:space="preserve">, </w:t>
      </w:r>
      <w:r w:rsidR="00A22FCE">
        <w:rPr>
          <w:sz w:val="24"/>
          <w:szCs w:val="24"/>
        </w:rPr>
        <w:t>Polícia Penal do Estado de Goiás</w:t>
      </w:r>
      <w:r>
        <w:rPr>
          <w:sz w:val="24"/>
          <w:szCs w:val="24"/>
        </w:rPr>
        <w:t xml:space="preserve">, </w:t>
      </w:r>
      <w:r w:rsidR="00A22FCE">
        <w:rPr>
          <w:sz w:val="24"/>
          <w:szCs w:val="24"/>
        </w:rPr>
        <w:t>marialuizajmarques@yahoo.com.br</w:t>
      </w:r>
    </w:p>
    <w:p w14:paraId="6B7B1827" w14:textId="77777777" w:rsidR="00B45144" w:rsidRDefault="00B45144">
      <w:pPr>
        <w:keepLines/>
        <w:widowControl w:val="0"/>
        <w:spacing w:line="240" w:lineRule="auto"/>
        <w:rPr>
          <w:sz w:val="24"/>
          <w:szCs w:val="24"/>
        </w:rPr>
      </w:pPr>
    </w:p>
    <w:p w14:paraId="6C5A7505" w14:textId="77777777" w:rsidR="00B45144" w:rsidRDefault="00B45144">
      <w:pPr>
        <w:keepLines/>
        <w:widowControl w:val="0"/>
        <w:spacing w:line="360" w:lineRule="auto"/>
        <w:rPr>
          <w:b/>
          <w:bCs/>
          <w:sz w:val="24"/>
          <w:szCs w:val="24"/>
        </w:rPr>
      </w:pPr>
    </w:p>
    <w:p w14:paraId="65482D89" w14:textId="77777777" w:rsidR="00B45144" w:rsidRDefault="00336760">
      <w:pPr>
        <w:keepLines/>
        <w:widowControl w:val="0"/>
        <w:spacing w:line="360" w:lineRule="auto"/>
        <w:rPr>
          <w:b/>
          <w:bCs/>
          <w:sz w:val="24"/>
          <w:szCs w:val="24"/>
        </w:rPr>
      </w:pPr>
      <w:r>
        <w:rPr>
          <w:b/>
          <w:bCs/>
          <w:sz w:val="24"/>
          <w:szCs w:val="24"/>
        </w:rPr>
        <w:t>RESUMO</w:t>
      </w:r>
    </w:p>
    <w:p w14:paraId="1D07D031" w14:textId="77777777" w:rsidR="00B45144" w:rsidRDefault="00B45144">
      <w:pPr>
        <w:keepLines/>
        <w:widowControl w:val="0"/>
        <w:spacing w:line="360" w:lineRule="auto"/>
        <w:rPr>
          <w:b/>
          <w:bCs/>
          <w:sz w:val="24"/>
          <w:szCs w:val="24"/>
        </w:rPr>
      </w:pPr>
    </w:p>
    <w:p w14:paraId="2A3FC3ED" w14:textId="68AED5B6" w:rsidR="00E027A0" w:rsidRDefault="00E027A0" w:rsidP="00E027A0">
      <w:pPr>
        <w:keepLines/>
        <w:widowControl w:val="0"/>
        <w:spacing w:line="360" w:lineRule="auto"/>
        <w:jc w:val="both"/>
        <w:rPr>
          <w:sz w:val="24"/>
          <w:szCs w:val="24"/>
        </w:rPr>
      </w:pPr>
      <w:r w:rsidRPr="00E027A0">
        <w:rPr>
          <w:sz w:val="24"/>
          <w:szCs w:val="24"/>
        </w:rPr>
        <w:t>É certo que a educação como mecanismo de ressocialização interfere na administração do controle do cárcere, na remição de pena e de outros aspectos importantes. Mas também possui efeitos extramuros, no que diz respeito à formação profissional, na diminuição da reincidência de crimes, nas oportunidades de trabalho e em uma postura capaz de questionar a violência como saída para os dilemas humanos. Ler é uma oportunidade de humanização, encontro com identidade em um processo terapêutico diante da vida, é essa a proposta do projeto TESSITURAS oficinas de leituras, uma ação de extensão do IFGoiano campus Urutaí que pretende levar literatura para dentro de três unidades prisionais no interior de Goiás, duas unidades masculinas e uma unidade regional feminina, por meio de leitura em tempo real. As oficinas são oferecidas em forma de encontros quinzenais, de aproximadamente duas horas de duração nas salas de aulas das Unidades prisionais e a partir de uma cuidadosa curadoria dos textos, escolhidos a partir do acesso dos leitores, alunos apenados.</w:t>
      </w:r>
      <w:r w:rsidR="00A22FCE">
        <w:rPr>
          <w:sz w:val="24"/>
          <w:szCs w:val="24"/>
        </w:rPr>
        <w:t xml:space="preserve"> fdsfdsdsfsdaa</w:t>
      </w:r>
    </w:p>
    <w:p w14:paraId="3A23C3BC" w14:textId="27DD27D1" w:rsidR="00B45144" w:rsidRDefault="00A22FCE" w:rsidP="00E027A0">
      <w:pPr>
        <w:keepLines/>
        <w:widowControl w:val="0"/>
        <w:spacing w:line="360" w:lineRule="auto"/>
        <w:jc w:val="both"/>
        <w:rPr>
          <w:sz w:val="24"/>
          <w:szCs w:val="24"/>
        </w:rPr>
      </w:pPr>
      <w:r>
        <w:rPr>
          <w:sz w:val="24"/>
          <w:szCs w:val="24"/>
        </w:rPr>
        <w:lastRenderedPageBreak/>
        <w:t xml:space="preserve">Foi </w:t>
      </w:r>
      <w:r w:rsidR="00E027A0" w:rsidRPr="00E027A0">
        <w:rPr>
          <w:sz w:val="24"/>
          <w:szCs w:val="24"/>
        </w:rPr>
        <w:t xml:space="preserve">em um desses encontros que nos reunimos, dois professores, Profa. Dra. Leonice Carvalho e Prof. Dr. Fernando Rocha, para a leitura do texto Quantos filhos Natalina teve, um conto da escritora Conceição Evaristo, usando o seguinte protocolo de leitura, apenas para orientar as atividades, preservando a criatividades e as peculiaridades de cada professor que se dispõe a ler e a pensar o texto com os alunos/as. Recomendamos que seja feito uma pré leitura, destacando a temática da aula e sugerindo alguns questionamentos que podem ser respondidos ao final da aula. Passamos a leitura do texto em voz alta, feita pelos professores e pausada em momentos necessários para pensar as marcas estéticas e éticas contidas no texto. Posteriormente, partimos para as reflexões interpretativas, críticas e estéticas abordadas no texto escolhido para o encontro. </w:t>
      </w:r>
      <w:r>
        <w:rPr>
          <w:sz w:val="24"/>
          <w:szCs w:val="24"/>
        </w:rPr>
        <w:t xml:space="preserve"> </w:t>
      </w:r>
      <w:r w:rsidR="00E027A0" w:rsidRPr="00E027A0">
        <w:rPr>
          <w:sz w:val="24"/>
          <w:szCs w:val="24"/>
        </w:rPr>
        <w:t xml:space="preserve">Natalina, uma “menina mulher”, filha de uma família de sete filhos que lutam pela sobrevivência, já no nome da personagem uma ironia que está em relação Natal, o momento do nascimento de Jesus, a base do cristianismo, o que evidencia a maternidade de Maria como um fenômeno sagrado que, compulsoriamente, atinge todas as outras mulheres, que entendem a maternidade como momento mais sublime da vida humana. Mas a narrativa transborda a evidente contradição na concepção da maternidade diante da vida sofrida e “irrisória” de Natalina, a ponto de colocá-la diante de muitas contradições e a uma questão central para o debate ético do conto, ou seja, a maternidade atravessa as mulheres em condições iguais? A maternidade oferece a sublimação a todas as mulheres? Natalina é atravessada pela pobreza, pela questão racial e, acima de tudo, por questões culturais que marcam a sua condição de gênero e sexualidade. </w:t>
      </w:r>
      <w:r>
        <w:rPr>
          <w:sz w:val="24"/>
          <w:szCs w:val="24"/>
        </w:rPr>
        <w:t xml:space="preserve"> </w:t>
      </w:r>
      <w:r w:rsidR="00E027A0" w:rsidRPr="00E027A0">
        <w:rPr>
          <w:sz w:val="24"/>
          <w:szCs w:val="24"/>
        </w:rPr>
        <w:t xml:space="preserve">Nessa perspectiva, o desejo é problematizado, dada as possibilidades de encontrar o prazer nas brincadeiras com Bilico; na coragem de contrariar a cultura ao revelar um desejo de não se casar e não formar, uma “família feliz” com Tonho (personagem da segunda gestação que propôs a Natalina formarem uma família), ou seja, em desafiar a lógica do que “faz uma mulher feliz”; de emprestar o seu corpo para gerar um filho para os patrões (narrativa da terceira gestação como uma barriga solidária para os patrões impedidos de gerar filhos), experiência que mais a fez “enjoar” e, finalmente, em um ato de violência e estupro (quarta gestação, dessa vez, forçada), quando se nasce e se morre, ela alcança sua sublimação ao sentir-se mãe de um rebento que agora “seria só seu”. Mas, o movimento da narrativa desemboca </w:t>
      </w:r>
      <w:r w:rsidR="00E027A0" w:rsidRPr="00E027A0">
        <w:rPr>
          <w:sz w:val="24"/>
          <w:szCs w:val="24"/>
        </w:rPr>
        <w:lastRenderedPageBreak/>
        <w:t xml:space="preserve">em uma questão central para a vida humana, universalizando a experiência de Natalina, a questão de viver e morrer. </w:t>
      </w:r>
      <w:r>
        <w:rPr>
          <w:sz w:val="24"/>
          <w:szCs w:val="24"/>
        </w:rPr>
        <w:t xml:space="preserve"> </w:t>
      </w:r>
      <w:r w:rsidR="00E027A0" w:rsidRPr="00E027A0">
        <w:rPr>
          <w:sz w:val="24"/>
          <w:szCs w:val="24"/>
        </w:rPr>
        <w:t>A vida é mesmo um “moinho”, já que “haveria de ensinar para ela que a vida é viver e é morrer. É gerar e é matar”, é nessa contradição ou, ainda, nessa junção de compreender o incompreensível da vida (já que a arte não quer explicar nada) é que as pontas vão se juntando na narrativa, em um movimento que: ora é viver, ora é morrer, mas, principalmente, é viver e morrer junto. Natalina se vê mãe pela primeira vez na sua quarta gestação, a que ela não enjoou, a que não prezou pelas “brincadeiras prazerosas”, a que se construía plenamente solitária, a que não foi planejada a partir da ausência da maternidade de Outro, Natalina está diante de um maternar sem “vergonha”, palavra repetida em cada gestação, faz esquecida na quarta experiência, que veio com a “semente invasora daquele homem”, que ao mesmo tempo que deu a vida, também experimentou a morte, Natalina mata seu agressor e traz Sá Praxedes de volta (parteira e benzedeira que possuía os conhecimentos ancestrais para provocar abortos e que, na linguagem popular que permeava a imaginação de meninas marginalizadas, comia as crianças que retirava do ventre), agora pelas mãos dela mesma, que faz ao acolher uma nova vida, um filho, “que fora concebido nos frágeis limites da vida e da morte”.</w:t>
      </w:r>
      <w:r>
        <w:rPr>
          <w:sz w:val="24"/>
          <w:szCs w:val="24"/>
        </w:rPr>
        <w:t xml:space="preserve"> </w:t>
      </w:r>
      <w:r w:rsidR="00E027A0" w:rsidRPr="00E027A0">
        <w:rPr>
          <w:sz w:val="24"/>
          <w:szCs w:val="24"/>
        </w:rPr>
        <w:t xml:space="preserve">Diante da pergunta “O eu você entendeu do conto lido?”, a maioria dos estudantes respondem a partir da “fábula”, ou seja, fazendo a sinopse da narrativa no âmbito dos elementos da narrativa, um breve resumo do conto. Mas algumas respostas aprofundam um pouco mais e alcançam as camadas da dimensão ética do texto, como se vê em “O que eu entendi sobre o texto foi que Natalina era uma criança ainda quando descobriu os prazeres da vida, logo cedo ainda criança e logo engravida. Mas não queria ter filhos queria ainda desfrutar mais ainda os prazeres da vida (...) na quarta gravidez porém foi fruto de um abuso, ela matou o pai e teve seu primeiro filho porém agora o filho era só seu de mais ninguém” (HCSJ), aqui é possível questionar a ideia de desfrute, já que os atravessamentos de classe, de raça, de gênero, em uma condição de completa privação de recursos, de oportunidades e até de visibilidade diante de tantos irmãos não dá à Natalina possibilidade de escolha. Natalina não sai da sua condição subalterna pelo fato de negar a maternidade, a construção de uma vida junto a Tonho ou mesmo de atender um pedido da patroa. Natalina, desejante ou não, permanece em uma relação de insignificância, sendo oprimida ora pelas questões de </w:t>
      </w:r>
      <w:r w:rsidR="00E027A0" w:rsidRPr="00E027A0">
        <w:rPr>
          <w:sz w:val="24"/>
          <w:szCs w:val="24"/>
        </w:rPr>
        <w:lastRenderedPageBreak/>
        <w:t>classe e gênero, ora pelo seu próprio desejo e as relações com o que descreve ser os prazeres da vida. Diante disso, como pensar a violência, o estupro, a invasão de sua casa, os olhos vendados, o gozo daquele homem sobre ela? Ainda mais, como compreender o medo que perpassa toda a narrativa e, principalmente, como localizar as conexões entre o viver e o morrer, entre o que dá a vida e o que leva à morte, a presença de Sá Praxedes, como uma lenda, um “assombramento”?</w:t>
      </w:r>
      <w:r>
        <w:rPr>
          <w:sz w:val="24"/>
          <w:szCs w:val="24"/>
        </w:rPr>
        <w:t xml:space="preserve"> </w:t>
      </w:r>
      <w:r w:rsidR="00E027A0" w:rsidRPr="00E027A0">
        <w:rPr>
          <w:sz w:val="24"/>
          <w:szCs w:val="24"/>
        </w:rPr>
        <w:t>E ainda sobre essa pergunta, a resposta abaixo estende muito a fábula, pensando a universalidade de Natalina como a realidade vivida por muitas mulheres no mundo, fazendo dessa dor uma experiência humana, nada mais humano que desejar, buscar o prazer, recusar ou aceitar, enfim, enfrentar as opressões e sofrer as consequências desses enfrentamentos, como se observa em “Por mais que o texto seja dramático, existem várias Natalinas pelo Brasil. Ela é só mais uma criança como muitas outras que teve a infância interrompida pela gravidez, Natalina não queria os três filhos pois ela tinha os seus motivos e só no último em meio a cena trágica ela decide querer ter aquele filho”. (DSMS) São os dramas humanos salientados na resposta do aluno que evidencia a atmosfera do dramático e que suscita a possibilidade de pensar uma trajetória para as mulheres a partir de uma contradição com a cultura e com o que se espera de uma conduta “normal” para as mulheres. É nesse sentido que ler no cárcere pode ser muito mais importante que remir pena, mas possibilita caminhos relevantes para uma reflexão sobre o mundo, sobre a vida e si mesmo.</w:t>
      </w:r>
    </w:p>
    <w:p w14:paraId="0918D75F" w14:textId="77777777" w:rsidR="00B45144" w:rsidRDefault="00B45144">
      <w:pPr>
        <w:keepLines/>
        <w:widowControl w:val="0"/>
        <w:spacing w:line="360" w:lineRule="auto"/>
        <w:jc w:val="both"/>
        <w:rPr>
          <w:sz w:val="24"/>
          <w:szCs w:val="24"/>
        </w:rPr>
      </w:pPr>
    </w:p>
    <w:p w14:paraId="190B0359" w14:textId="77777777" w:rsidR="00B45144" w:rsidRDefault="00336760">
      <w:pPr>
        <w:keepLines/>
        <w:widowControl w:val="0"/>
        <w:spacing w:line="360" w:lineRule="auto"/>
        <w:jc w:val="both"/>
        <w:rPr>
          <w:b/>
          <w:bCs/>
          <w:sz w:val="24"/>
          <w:szCs w:val="24"/>
        </w:rPr>
      </w:pPr>
      <w:r>
        <w:rPr>
          <w:b/>
          <w:bCs/>
          <w:sz w:val="24"/>
          <w:szCs w:val="24"/>
        </w:rPr>
        <w:t>PALAVRAS-CHAVE</w:t>
      </w:r>
    </w:p>
    <w:p w14:paraId="6B7D4100" w14:textId="7FC4E1E7" w:rsidR="00B45144" w:rsidRPr="00A22FCE" w:rsidRDefault="00A22FCE" w:rsidP="00A22FCE">
      <w:pPr>
        <w:keepLines/>
        <w:widowControl w:val="0"/>
        <w:spacing w:line="360" w:lineRule="auto"/>
        <w:jc w:val="both"/>
        <w:rPr>
          <w:sz w:val="24"/>
          <w:szCs w:val="24"/>
        </w:rPr>
      </w:pPr>
      <w:r>
        <w:rPr>
          <w:sz w:val="24"/>
          <w:szCs w:val="24"/>
        </w:rPr>
        <w:t>Leitura; literatura; cárcere.</w:t>
      </w:r>
    </w:p>
    <w:sectPr w:rsidR="00B45144" w:rsidRPr="00A22FCE">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5F7FFB" w14:textId="77777777" w:rsidR="00336760" w:rsidRDefault="00336760">
      <w:pPr>
        <w:spacing w:line="240" w:lineRule="auto"/>
      </w:pPr>
      <w:r>
        <w:separator/>
      </w:r>
    </w:p>
  </w:endnote>
  <w:endnote w:type="continuationSeparator" w:id="0">
    <w:p w14:paraId="79353093" w14:textId="77777777" w:rsidR="00336760" w:rsidRDefault="003367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7358502-3084-49F4-9DC7-428D5684608C}"/>
  </w:font>
  <w:font w:name="Cambria">
    <w:panose1 w:val="02040503050406030204"/>
    <w:charset w:val="00"/>
    <w:family w:val="roman"/>
    <w:pitch w:val="variable"/>
    <w:sig w:usb0="E00006FF" w:usb1="420024FF" w:usb2="02000000" w:usb3="00000000" w:csb0="0000019F" w:csb1="00000000"/>
    <w:embedRegular r:id="rId2" w:fontKey="{C61CB128-CE5A-46D9-AB61-859920EBAA7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C2782" w14:textId="21F6B401" w:rsidR="00B45144" w:rsidRDefault="00336760">
    <w:pPr>
      <w:jc w:val="center"/>
    </w:pPr>
    <w:r>
      <w:fldChar w:fldCharType="begin"/>
    </w:r>
    <w:r>
      <w:instrText>PAGE</w:instrText>
    </w:r>
    <w:r>
      <w:fldChar w:fldCharType="separate"/>
    </w:r>
    <w:r w:rsidR="00035042">
      <w:rPr>
        <w:noProof/>
      </w:rP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B584A6" w14:textId="77777777" w:rsidR="00B45144" w:rsidRDefault="00B4514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79360" w14:textId="77777777" w:rsidR="00336760" w:rsidRDefault="00336760">
      <w:pPr>
        <w:spacing w:line="240" w:lineRule="auto"/>
      </w:pPr>
      <w:r>
        <w:separator/>
      </w:r>
    </w:p>
  </w:footnote>
  <w:footnote w:type="continuationSeparator" w:id="0">
    <w:p w14:paraId="3495B655" w14:textId="77777777" w:rsidR="00336760" w:rsidRDefault="003367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FA80C" w14:textId="77777777" w:rsidR="00B45144" w:rsidRDefault="00336760">
    <w:pPr>
      <w:jc w:val="right"/>
    </w:pPr>
    <w:r>
      <w:rPr>
        <w:noProof/>
        <w:lang w:eastAsia="pt-BR"/>
      </w:rPr>
      <w:drawing>
        <wp:anchor distT="114300" distB="114300" distL="114300" distR="114300" simplePos="0" relativeHeight="251658240" behindDoc="1" locked="0" layoutInCell="1" hidden="0" allowOverlap="1" wp14:anchorId="5224DD83" wp14:editId="6B52D0DD">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lang w:eastAsia="pt-BR"/>
      </w:rPr>
      <w:drawing>
        <wp:anchor distT="114300" distB="114300" distL="114300" distR="114300" simplePos="0" relativeHeight="251659264" behindDoc="1" locked="0" layoutInCell="1" hidden="0" allowOverlap="1" wp14:anchorId="6323AC2A" wp14:editId="6A90A717">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772EA8F3" w14:textId="77777777" w:rsidR="00B45144" w:rsidRDefault="00B45144">
    <w:pPr>
      <w:jc w:val="right"/>
    </w:pPr>
  </w:p>
  <w:p w14:paraId="54147540" w14:textId="77777777" w:rsidR="00B45144" w:rsidRDefault="00B45144">
    <w:pPr>
      <w:jc w:val="right"/>
    </w:pPr>
  </w:p>
  <w:p w14:paraId="2FE30592" w14:textId="77777777" w:rsidR="00B45144" w:rsidRDefault="00336760">
    <w:r>
      <w:rPr>
        <w:noProof/>
        <w:lang w:eastAsia="pt-BR"/>
      </w:rPr>
      <w:drawing>
        <wp:anchor distT="114300" distB="114300" distL="114300" distR="114300" simplePos="0" relativeHeight="251660288" behindDoc="1" locked="0" layoutInCell="1" hidden="0" allowOverlap="1" wp14:anchorId="4A670368" wp14:editId="6CFA95C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BDF06A" w14:textId="77777777" w:rsidR="00B45144" w:rsidRDefault="00B451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144"/>
    <w:rsid w:val="00035042"/>
    <w:rsid w:val="00336760"/>
    <w:rsid w:val="00830ED1"/>
    <w:rsid w:val="00A22FCE"/>
    <w:rsid w:val="00A94DFF"/>
    <w:rsid w:val="00B45144"/>
    <w:rsid w:val="00E02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30A0"/>
  <w15:docId w15:val="{DC5238B8-3972-4717-B1FA-8A0CF9BA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BR"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1412</Words>
  <Characters>7048</Characters>
  <Application>Microsoft Office Word</Application>
  <DocSecurity>0</DocSecurity>
  <Lines>99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dc:creator>
  <cp:lastModifiedBy>Usuario</cp:lastModifiedBy>
  <cp:revision>2</cp:revision>
  <dcterms:created xsi:type="dcterms:W3CDTF">2026-07-30T14:24:00Z</dcterms:created>
  <dcterms:modified xsi:type="dcterms:W3CDTF">2026-07-30T14:24:00Z</dcterms:modified>
</cp:coreProperties>
</file>