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4E66" w14:textId="415EDE4B" w:rsidR="00145190" w:rsidRDefault="00F56A33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 5 – DESCOLONIZAR E INTERCULTURALIZAR AS UNIVERSIDADES:AÇÕES AFIRMATIVAS, JUSTIÇA EPISTÊMICA E TRANSFORMAÇÃO DAS CIÊNCIAS</w:t>
      </w:r>
    </w:p>
    <w:p w14:paraId="65657889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00CDFBB6" w14:textId="77777777" w:rsidR="00145190" w:rsidRDefault="0014519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93E23B8" w14:textId="63FA7594" w:rsidR="00145190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6E1898">
        <w:rPr>
          <w:b/>
          <w:bCs/>
          <w:sz w:val="24"/>
          <w:szCs w:val="24"/>
        </w:rPr>
        <w:t xml:space="preserve">Suleando o gênero gramatical </w:t>
      </w:r>
    </w:p>
    <w:p w14:paraId="2D21CCF1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61D0DBB9" w14:textId="77777777" w:rsidR="006E1898" w:rsidRDefault="006E1898">
      <w:pPr>
        <w:keepLines/>
        <w:widowControl w:val="0"/>
        <w:spacing w:line="240" w:lineRule="auto"/>
        <w:rPr>
          <w:sz w:val="24"/>
          <w:szCs w:val="24"/>
        </w:rPr>
      </w:pPr>
    </w:p>
    <w:p w14:paraId="533408DC" w14:textId="38D80D60" w:rsidR="00145190" w:rsidRDefault="00F56A33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Lua Camilo Nogueira, UNESP</w:t>
      </w:r>
      <w:r w:rsidR="00FD5155">
        <w:rPr>
          <w:sz w:val="24"/>
          <w:szCs w:val="24"/>
        </w:rPr>
        <w:t>-</w:t>
      </w:r>
      <w:r w:rsidR="003917FA">
        <w:rPr>
          <w:sz w:val="24"/>
          <w:szCs w:val="24"/>
        </w:rPr>
        <w:t>Ibilce</w:t>
      </w:r>
      <w:r>
        <w:rPr>
          <w:sz w:val="24"/>
          <w:szCs w:val="24"/>
        </w:rPr>
        <w:t>, lc.nogueira@unesp.br</w:t>
      </w:r>
    </w:p>
    <w:p w14:paraId="7B348B3F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29CEEED1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02AC9661" w14:textId="77777777" w:rsidR="00145190" w:rsidRDefault="0014519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211C189" w14:textId="77777777" w:rsidR="00145190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6E3A6462" w14:textId="77777777" w:rsidR="00145190" w:rsidRDefault="0014519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8517E2F" w14:textId="3C221826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>Na tese</w:t>
      </w:r>
      <w:r w:rsidR="00F8083A">
        <w:rPr>
          <w:sz w:val="24"/>
          <w:szCs w:val="24"/>
        </w:rPr>
        <w:t xml:space="preserve"> intitulada</w:t>
      </w:r>
      <w:r w:rsidRPr="0010629C">
        <w:rPr>
          <w:sz w:val="24"/>
          <w:szCs w:val="24"/>
        </w:rPr>
        <w:t xml:space="preserve"> “A categoria linguística de gênero nas línguas indígenas do Brasil: um estudo tipológico-funcional” (Nogueira, 2026), examinamos a expressão e a codificação do gênero gramatical em 30 línguas pindorâmicas de diferentes famílias linguísticas. Para esse propósito, consideramos quatro tipos de gênero linguístico (formal, semântico, pragmático e contextual), três classes (feminino, masculino e neutro) e três tipos de codificação (lexical, morfossintática ou fonológica).</w:t>
      </w:r>
    </w:p>
    <w:p w14:paraId="596295DB" w14:textId="3CB50402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 xml:space="preserve">A partir dos dados, organizamos as línguas da amostra em cinco grupos: grupo 1 – cinco línguas dispõem de gênero semântico (ikpeng,  sabanê, shanenawa, maxakalí  e ofayé); grupo 2 – cinco línguas apresentam gênero semântico e pragmático (parkatejê, dâw, mamaindê, bororo e trumai); grupo 3 – oito línguas exibem gênero semântico, pragmático e contextual (mehináku, akwẽ-xerente, dzubukuá, kanoê, rikbáktsa, kadiwéu, asurini, tariana); grupo 4 – quatro línguas dispõem de gênero formal, semântico, pragmático e contextual (wari’, desano, kubeo e jarawara); e grupo 5 – oito línguas apresentam gênero semântico e contextual (avá-canoeiro, kaiowá, timbira, matis, kwaza, sateré-mawé, kamaiurá e aweti). No grupo 1, a codificação é lexical e não há concordância; no grupo 2, a codificação é lexical ou lexical e morfossintática, sendo parcialmente possível realizar concordância; nos grupos 3 e 4, a codificação é lexical e morfossintática ou lexical, morfossintática e fonológica, sendo que há parcialmente operação de concordância no grupo 3 e </w:t>
      </w:r>
      <w:r w:rsidR="00484C37">
        <w:rPr>
          <w:sz w:val="24"/>
          <w:szCs w:val="24"/>
        </w:rPr>
        <w:t xml:space="preserve">há </w:t>
      </w:r>
      <w:r w:rsidRPr="0010629C">
        <w:rPr>
          <w:sz w:val="24"/>
          <w:szCs w:val="24"/>
        </w:rPr>
        <w:t xml:space="preserve">operação de concordância e de acordo em todas as línguas do grupo 4; no grupo 5, são atestadas as três possibilidades de codificação mencionadas e há parcialmente concordância. </w:t>
      </w:r>
    </w:p>
    <w:p w14:paraId="361BE905" w14:textId="231FD2B5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lastRenderedPageBreak/>
        <w:t xml:space="preserve">Esses achados mostram que a codificação do gênero não é homogênea nem é predominantemente formal, como frequentemente ocorre em línguas indo-europeias. Os resultados do estudo corroboram a hipótese da pesquisa ao evidenciar que sistemas de gênero </w:t>
      </w:r>
      <w:r w:rsidR="00484C37">
        <w:rPr>
          <w:sz w:val="24"/>
          <w:szCs w:val="24"/>
        </w:rPr>
        <w:t>investigados</w:t>
      </w:r>
      <w:r w:rsidRPr="0010629C">
        <w:rPr>
          <w:sz w:val="24"/>
          <w:szCs w:val="24"/>
        </w:rPr>
        <w:t xml:space="preserve"> apresentam diversidade tipológica, sendo majoritariamente orientados por critérios semânticos, como sexo</w:t>
      </w:r>
      <w:r w:rsidR="008300B8">
        <w:rPr>
          <w:sz w:val="24"/>
          <w:szCs w:val="24"/>
        </w:rPr>
        <w:t xml:space="preserve"> ou anatomia</w:t>
      </w:r>
      <w:r w:rsidRPr="0010629C">
        <w:rPr>
          <w:sz w:val="24"/>
          <w:szCs w:val="24"/>
        </w:rPr>
        <w:t xml:space="preserve">, pragmáticos, como cosmologias </w:t>
      </w:r>
      <w:r w:rsidR="006E1898">
        <w:rPr>
          <w:sz w:val="24"/>
          <w:szCs w:val="24"/>
        </w:rPr>
        <w:t>pindorâmicas</w:t>
      </w:r>
      <w:r w:rsidRPr="0010629C">
        <w:rPr>
          <w:sz w:val="24"/>
          <w:szCs w:val="24"/>
        </w:rPr>
        <w:t xml:space="preserve">, e contextuais, como identidade de gênero </w:t>
      </w:r>
      <w:r w:rsidR="008300B8">
        <w:rPr>
          <w:sz w:val="24"/>
          <w:szCs w:val="24"/>
        </w:rPr>
        <w:t>do</w:t>
      </w:r>
      <w:r w:rsidRPr="0010629C">
        <w:rPr>
          <w:sz w:val="24"/>
          <w:szCs w:val="24"/>
        </w:rPr>
        <w:t xml:space="preserve"> interlocutor.</w:t>
      </w:r>
    </w:p>
    <w:p w14:paraId="72D81E7C" w14:textId="219F1044" w:rsidR="00E50E25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>Adicionalmente, os dados obtidos oferecem contraexemplos importantes às generalizações mais comuns da tipologia do gênero</w:t>
      </w:r>
      <w:r w:rsidR="00E50E25">
        <w:rPr>
          <w:sz w:val="24"/>
          <w:szCs w:val="24"/>
        </w:rPr>
        <w:t xml:space="preserve">, </w:t>
      </w:r>
      <w:r w:rsidRPr="0010629C">
        <w:rPr>
          <w:sz w:val="24"/>
          <w:szCs w:val="24"/>
        </w:rPr>
        <w:t>baseadas sobretudo em línguas euroasiáticas</w:t>
      </w:r>
      <w:r w:rsidR="00E50E25">
        <w:rPr>
          <w:sz w:val="24"/>
          <w:szCs w:val="24"/>
        </w:rPr>
        <w:t xml:space="preserve">, </w:t>
      </w:r>
      <w:r w:rsidRPr="0010629C">
        <w:rPr>
          <w:sz w:val="24"/>
          <w:szCs w:val="24"/>
        </w:rPr>
        <w:t xml:space="preserve">quanto à rigidez morfossintática (concordância ou acordo), </w:t>
      </w:r>
      <w:r w:rsidR="00F8083A">
        <w:rPr>
          <w:sz w:val="24"/>
          <w:szCs w:val="24"/>
        </w:rPr>
        <w:t xml:space="preserve">apontada como </w:t>
      </w:r>
      <w:r w:rsidRPr="0010629C">
        <w:rPr>
          <w:sz w:val="24"/>
          <w:szCs w:val="24"/>
        </w:rPr>
        <w:t>critério identificador da presença ou ausência de um sistema de gênero</w:t>
      </w:r>
      <w:r w:rsidR="00483017">
        <w:rPr>
          <w:sz w:val="24"/>
          <w:szCs w:val="24"/>
        </w:rPr>
        <w:t xml:space="preserve"> (Miranda, 2023).</w:t>
      </w:r>
    </w:p>
    <w:p w14:paraId="67C74552" w14:textId="48375717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>A esse respeito, 19 das 30 línguas estudadas codificam gênero morfossintaticamente, entre as quais 12 apresentam operação de concordância, sendo que quatro destas apresentam também operação de acordo. Ademais, a relação entre gênero e número, sugerida por Corbett (1991), só aparece em dez línguas da amostra. Afirmar que não há sistema de gênero nas outras línguas é reduzir as possibilidades de expressão e codificação do gênero gramatical a um parâmetro de análise único e excludente. E não considerar a questão semântico-lexical na marcação dessa categoria gramatical é desconsiderar a diversidade linguística quanto às noções de gênero veiculadas no uso da língua. Vale destacar que o gênero neutro, marcado em dzubukuá e wari’, não é arbitrário e nem restrito a objetos inanimados, diferentemente do que sugere Aikhenvald (2016). Outr</w:t>
      </w:r>
      <w:r w:rsidR="008E4C6C">
        <w:rPr>
          <w:sz w:val="24"/>
          <w:szCs w:val="24"/>
        </w:rPr>
        <w:t>a</w:t>
      </w:r>
      <w:r w:rsidRPr="0010629C">
        <w:rPr>
          <w:sz w:val="24"/>
          <w:szCs w:val="24"/>
        </w:rPr>
        <w:t xml:space="preserve"> </w:t>
      </w:r>
      <w:r w:rsidR="008E4C6C">
        <w:rPr>
          <w:sz w:val="24"/>
          <w:szCs w:val="24"/>
        </w:rPr>
        <w:t>descoberta</w:t>
      </w:r>
      <w:r w:rsidRPr="0010629C">
        <w:rPr>
          <w:sz w:val="24"/>
          <w:szCs w:val="24"/>
        </w:rPr>
        <w:t xml:space="preserve"> relevante</w:t>
      </w:r>
      <w:r w:rsidR="008300B8">
        <w:rPr>
          <w:sz w:val="24"/>
          <w:szCs w:val="24"/>
        </w:rPr>
        <w:t xml:space="preserve"> </w:t>
      </w:r>
      <w:r w:rsidRPr="0010629C">
        <w:rPr>
          <w:sz w:val="24"/>
          <w:szCs w:val="24"/>
        </w:rPr>
        <w:t xml:space="preserve">é que os parâmetros de animacidade e humanidade, articulados na marcação de gênero, </w:t>
      </w:r>
      <w:r w:rsidR="008300B8">
        <w:rPr>
          <w:sz w:val="24"/>
          <w:szCs w:val="24"/>
        </w:rPr>
        <w:t>refletem</w:t>
      </w:r>
      <w:r w:rsidRPr="008E4C6C">
        <w:rPr>
          <w:sz w:val="24"/>
          <w:szCs w:val="24"/>
        </w:rPr>
        <w:t xml:space="preserve"> ontologias </w:t>
      </w:r>
      <w:r w:rsidR="00E50E25" w:rsidRPr="008E4C6C">
        <w:rPr>
          <w:sz w:val="24"/>
          <w:szCs w:val="24"/>
        </w:rPr>
        <w:t>autóctones</w:t>
      </w:r>
      <w:r w:rsidR="008300B8">
        <w:rPr>
          <w:sz w:val="24"/>
          <w:szCs w:val="24"/>
        </w:rPr>
        <w:t xml:space="preserve">, </w:t>
      </w:r>
      <w:r w:rsidR="008300B8" w:rsidRPr="008E4C6C">
        <w:rPr>
          <w:sz w:val="24"/>
          <w:szCs w:val="24"/>
        </w:rPr>
        <w:t>diverg</w:t>
      </w:r>
      <w:r w:rsidR="008300B8">
        <w:rPr>
          <w:sz w:val="24"/>
          <w:szCs w:val="24"/>
        </w:rPr>
        <w:t>indo</w:t>
      </w:r>
      <w:r w:rsidR="008300B8" w:rsidRPr="008E4C6C">
        <w:rPr>
          <w:sz w:val="24"/>
          <w:szCs w:val="24"/>
        </w:rPr>
        <w:t xml:space="preserve"> da concepção ocidental</w:t>
      </w:r>
      <w:r w:rsidRPr="008E4C6C">
        <w:rPr>
          <w:sz w:val="24"/>
          <w:szCs w:val="24"/>
        </w:rPr>
        <w:t>.</w:t>
      </w:r>
    </w:p>
    <w:p w14:paraId="62BB5931" w14:textId="572420C7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>Além disso, incorporar estudos políticos, decoloniais e contracoloniais à teoria linguística para análise dos dados (Foucault, 1977; Oyěwùmí, 2021 [1997]; Viveiros de Castro, 1998; Barros; Monserrat, 2019; Rubim, 2020; Krenak, 2022; Luciano, 2022; Núñez, 2023; Freitag, 2024; entre outros) foi crucial para uma compreensão mais detalhada dos resultados alcançados, indicando a importância da ampliação do escopo epistemológico e da interdisciplinaridade na descrição gramatical.</w:t>
      </w:r>
    </w:p>
    <w:p w14:paraId="4859970D" w14:textId="77777777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lastRenderedPageBreak/>
        <w:t>As grandes contribuições científicas da pesquisa consistem no avanço teórico do modelo tipológico funcional adotado, a Gramática Discursivo-Funcional (Hengeveld; Mackenzie, 2008); na proposição de critérios tipológicos mais amplos e precisos para a descrição do gênero gramatical, articulando as dimensões cognitivas, gramaticais, funcionais, tipológicas e considerando os aspectos culturais, simbólicos e discursivos; na descrição e análise de línguas ameríndias; no desenvolvimento de abordagens críticas que considerem a heterogeneidade da linguagem humana potencialmente aplicadas ao ensino; e na documentação e divulgação da diversidade linguístico-cultural do Brasil.</w:t>
      </w:r>
    </w:p>
    <w:p w14:paraId="7DE31D30" w14:textId="6AB1D386" w:rsidR="00145190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 xml:space="preserve">Socioculturalmente, a pesquisa contribui ao promover o acesso a conhecimentos linguísticos atentos à diversidade; ao dar forma para vozes silenciadas, culturas invisibilizadas e assuntos marginalizados, valorizando grupos, povos e sistemas linguísticos historicamente minorizados; ao preservar as línguas originárias, reafirmando a importância da preservação do patrimônio cultural imaterial; e ao registrar aspectos essenciais das </w:t>
      </w:r>
      <w:r w:rsidRPr="006E1898">
        <w:rPr>
          <w:sz w:val="24"/>
          <w:szCs w:val="24"/>
        </w:rPr>
        <w:t xml:space="preserve">ontologias, </w:t>
      </w:r>
      <w:r w:rsidR="006E1898">
        <w:rPr>
          <w:sz w:val="24"/>
          <w:szCs w:val="24"/>
        </w:rPr>
        <w:t xml:space="preserve">dos </w:t>
      </w:r>
      <w:r w:rsidRPr="006E1898">
        <w:rPr>
          <w:sz w:val="24"/>
          <w:szCs w:val="24"/>
        </w:rPr>
        <w:t>saberes e</w:t>
      </w:r>
      <w:r w:rsidR="006E1898">
        <w:rPr>
          <w:sz w:val="24"/>
          <w:szCs w:val="24"/>
        </w:rPr>
        <w:t xml:space="preserve"> das</w:t>
      </w:r>
      <w:r w:rsidRPr="006E1898">
        <w:rPr>
          <w:sz w:val="24"/>
          <w:szCs w:val="24"/>
        </w:rPr>
        <w:t xml:space="preserve"> cosmopercepções </w:t>
      </w:r>
      <w:r w:rsidR="006E1898" w:rsidRPr="006E1898">
        <w:rPr>
          <w:sz w:val="24"/>
          <w:szCs w:val="24"/>
        </w:rPr>
        <w:t>indígenas</w:t>
      </w:r>
      <w:r w:rsidRPr="0010629C">
        <w:rPr>
          <w:sz w:val="24"/>
          <w:szCs w:val="24"/>
        </w:rPr>
        <w:t>, reconhecendo o papel central da língua como expressão de identidade, de pertença e de percepção de mundo.</w:t>
      </w:r>
      <w:r>
        <w:rPr>
          <w:sz w:val="24"/>
          <w:szCs w:val="24"/>
        </w:rPr>
        <w:t xml:space="preserve"> </w:t>
      </w:r>
    </w:p>
    <w:p w14:paraId="0CE3B58C" w14:textId="77777777" w:rsidR="00145190" w:rsidRDefault="0014519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C919936" w14:textId="3E2F1F0A" w:rsidR="0010629C" w:rsidRPr="001D13A8" w:rsidRDefault="00000000" w:rsidP="001D13A8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  <w:r w:rsidR="001D13A8">
        <w:rPr>
          <w:b/>
          <w:bCs/>
          <w:sz w:val="24"/>
          <w:szCs w:val="24"/>
        </w:rPr>
        <w:t xml:space="preserve">: </w:t>
      </w:r>
      <w:r w:rsidR="001D13A8">
        <w:t>expressão de gênero</w:t>
      </w:r>
      <w:r w:rsidR="0010629C" w:rsidRPr="001D13A8">
        <w:t>;</w:t>
      </w:r>
      <w:r w:rsidR="001D13A8">
        <w:t xml:space="preserve"> codificação de gênero;</w:t>
      </w:r>
      <w:r w:rsidR="0010629C" w:rsidRPr="001D13A8">
        <w:t xml:space="preserve"> Gramática Discursivo-Funcional; línguas indígenas do Brasil.</w:t>
      </w:r>
    </w:p>
    <w:p w14:paraId="0D6AC5B4" w14:textId="77777777" w:rsidR="00145190" w:rsidRDefault="0014519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34E34C7" w14:textId="77777777" w:rsidR="00484C37" w:rsidRDefault="00484C3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42F4090" w14:textId="5A3FFFE3" w:rsidR="00145190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</w:p>
    <w:p w14:paraId="4D3EF761" w14:textId="77777777" w:rsidR="006E1898" w:rsidRDefault="006E1898">
      <w:pPr>
        <w:keepLines/>
        <w:widowControl w:val="0"/>
        <w:spacing w:line="240" w:lineRule="auto"/>
        <w:rPr>
          <w:sz w:val="24"/>
          <w:szCs w:val="24"/>
        </w:rPr>
      </w:pPr>
    </w:p>
    <w:p w14:paraId="72BBD706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 xml:space="preserve">AIKHENVALD, Alexandra Y. </w:t>
      </w:r>
      <w:r w:rsidRPr="006E1898"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  <w:t>How gender shapes the world</w:t>
      </w: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>. 1. ed. New York: Oxford University Press, 2016.</w:t>
      </w:r>
    </w:p>
    <w:p w14:paraId="4280FC70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2B34F2B3" w14:textId="734AEACB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BARROS, Cândida; MONSERRAT, Ruth. Dilemas da evangelização em tupi na Amazônia na primeira metade do séculoXVIII: vernaculizar ou manter a tradição textual jesuítica? </w:t>
      </w:r>
      <w:r w:rsidRPr="006E1898">
        <w:rPr>
          <w:rFonts w:eastAsia="Calibri"/>
          <w:i/>
          <w:iCs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In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: CERRÓN-PALOMINO, Rodolfo; RIVERO, Álvaro E.; ZWARTJES, Otto. (org.). </w:t>
      </w:r>
      <w:r w:rsidRPr="006E1898">
        <w:rPr>
          <w:rFonts w:eastAsia="Calibri"/>
          <w:b/>
          <w:bCs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Lingüística missioneira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. Aspectos lingüísticos, discursivos, filológicos y pedagógicos. Lima: Fondo Editorial PUCP, p. 66-72</w:t>
      </w:r>
      <w:r w:rsidR="00E50E25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,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 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>2019.</w:t>
      </w:r>
    </w:p>
    <w:p w14:paraId="516DB544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294F77B3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 xml:space="preserve">CORBETT, Greville G. </w:t>
      </w:r>
      <w:r w:rsidRPr="006E1898">
        <w:rPr>
          <w:rFonts w:eastAsia="Calibri"/>
          <w:b/>
          <w:bCs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>Gender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>. New York: Cambridge University Press, 1991.</w:t>
      </w:r>
    </w:p>
    <w:p w14:paraId="55B23153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shd w:val="clear" w:color="auto" w:fill="FFFFFF"/>
          <w:lang w:val="en-US"/>
        </w:rPr>
      </w:pPr>
    </w:p>
    <w:p w14:paraId="68AFCA1E" w14:textId="77777777" w:rsidR="006E1898" w:rsidRPr="006E1898" w:rsidRDefault="006E1898" w:rsidP="006E1898">
      <w:pPr>
        <w:pStyle w:val="Textodenotaderodap"/>
        <w:jc w:val="left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FOUCAULT, Michel. </w:t>
      </w:r>
      <w:r w:rsidRPr="006E1898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História da sexualidade I</w:t>
      </w:r>
      <w:r w:rsidRPr="001D13A8">
        <w:rPr>
          <w:rFonts w:eastAsia="Calibri"/>
          <w:kern w:val="2"/>
          <w:sz w:val="24"/>
          <w:szCs w:val="24"/>
          <w:lang w:eastAsia="en-US"/>
          <w14:ligatures w14:val="standardContextual"/>
        </w:rPr>
        <w:t>: a vontade de saber</w:t>
      </w: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>. Tradução de Maria Thereza costa Albuquerque e José Augusto Guilhon Albuquerque. Rio de Janeiro: Graal, 1977.</w:t>
      </w:r>
    </w:p>
    <w:p w14:paraId="1ACC5A42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</w:rPr>
      </w:pPr>
    </w:p>
    <w:p w14:paraId="3563D270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FREITAG, Raquel. </w:t>
      </w:r>
      <w:r w:rsidRPr="006E1898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Não existe linguagem </w:t>
      </w:r>
      <w:proofErr w:type="gramStart"/>
      <w:r w:rsidRPr="006E1898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neutra</w:t>
      </w:r>
      <w:r w:rsidRPr="001D13A8">
        <w:rPr>
          <w:rFonts w:eastAsia="Calibri"/>
          <w:kern w:val="2"/>
          <w:sz w:val="24"/>
          <w:szCs w:val="24"/>
          <w:lang w:eastAsia="en-US"/>
          <w14:ligatures w14:val="standardContextual"/>
        </w:rPr>
        <w:t>!</w:t>
      </w:r>
      <w:r w:rsidRPr="00484C37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:</w:t>
      </w:r>
      <w:proofErr w:type="gramEnd"/>
      <w:r w:rsidRPr="001D13A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gênero na sociedade e na gramática do português brasileiro</w:t>
      </w: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. </w:t>
      </w: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>1. ed. São Paulo: Contexto, 2024.</w:t>
      </w:r>
    </w:p>
    <w:p w14:paraId="5D22E77B" w14:textId="6AC3E2CD" w:rsidR="006E1898" w:rsidRPr="00E50E25" w:rsidRDefault="006E1898" w:rsidP="006E1898">
      <w:pPr>
        <w:spacing w:line="240" w:lineRule="auto"/>
        <w:rPr>
          <w:rFonts w:eastAsia="Calibri"/>
          <w:sz w:val="24"/>
          <w:szCs w:val="24"/>
        </w:rPr>
      </w:pPr>
    </w:p>
    <w:p w14:paraId="518CEF73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 xml:space="preserve">HENGEVELD, Kees.; MACKENZIE, J. Lachlan. </w:t>
      </w:r>
      <w:r w:rsidRPr="006E1898"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  <w:t>Functional Discourse Grammar</w:t>
      </w:r>
      <w:r w:rsidRPr="001D13A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>: a typologically-based theory of language structure.</w:t>
      </w: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 xml:space="preserve"> Oxford: Oxford University Press, 2008.</w:t>
      </w:r>
    </w:p>
    <w:p w14:paraId="5B8A4609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26CAE3AC" w14:textId="77777777" w:rsidR="006E1898" w:rsidRDefault="006E1898" w:rsidP="006E1898">
      <w:pPr>
        <w:spacing w:line="240" w:lineRule="auto"/>
        <w:rPr>
          <w:spacing w:val="-2"/>
          <w:sz w:val="24"/>
          <w:szCs w:val="24"/>
        </w:rPr>
      </w:pPr>
      <w:r w:rsidRPr="006E1898">
        <w:rPr>
          <w:spacing w:val="-2"/>
          <w:sz w:val="24"/>
          <w:szCs w:val="24"/>
        </w:rPr>
        <w:t xml:space="preserve">KRENAK, Ailton. </w:t>
      </w:r>
      <w:r w:rsidRPr="006E1898">
        <w:rPr>
          <w:b/>
          <w:bCs/>
          <w:spacing w:val="-2"/>
          <w:sz w:val="24"/>
          <w:szCs w:val="24"/>
        </w:rPr>
        <w:t>Futuro ancestral</w:t>
      </w:r>
      <w:r w:rsidRPr="006E1898">
        <w:rPr>
          <w:spacing w:val="-2"/>
          <w:sz w:val="24"/>
          <w:szCs w:val="24"/>
        </w:rPr>
        <w:t>. 1 ed. São Paulo: Companhia das Letras, 2022.</w:t>
      </w:r>
    </w:p>
    <w:p w14:paraId="3BF32ADC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508D0F9B" w14:textId="52507D3B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LUCIANO, Gersem J. dos S. Saberes indígenas e resistência linguística. In: MATOS, Doris Cristina V. da S.; SOUSA, Cristiane Maria C. L. L. de (orgs.). </w:t>
      </w:r>
      <w:r w:rsidRPr="006E1898">
        <w:rPr>
          <w:b/>
          <w:bCs/>
          <w:sz w:val="24"/>
          <w:szCs w:val="24"/>
        </w:rPr>
        <w:t>Suleando conceitos em linguagens</w:t>
      </w:r>
      <w:r w:rsidRPr="001D13A8">
        <w:rPr>
          <w:sz w:val="24"/>
          <w:szCs w:val="24"/>
        </w:rPr>
        <w:t>: decolonialidades e epistemologias outras.</w:t>
      </w:r>
      <w:r w:rsidRPr="006E1898">
        <w:rPr>
          <w:sz w:val="24"/>
          <w:szCs w:val="24"/>
        </w:rPr>
        <w:t xml:space="preserve"> 1 ed. Campinas: Pontes Editores,</w:t>
      </w:r>
      <w:r w:rsidR="00E50E25">
        <w:rPr>
          <w:sz w:val="24"/>
          <w:szCs w:val="24"/>
        </w:rPr>
        <w:t xml:space="preserve"> p. </w:t>
      </w:r>
      <w:r w:rsidR="00483017">
        <w:rPr>
          <w:sz w:val="24"/>
          <w:szCs w:val="24"/>
        </w:rPr>
        <w:t>323-332,</w:t>
      </w:r>
      <w:r w:rsidRPr="006E1898">
        <w:rPr>
          <w:sz w:val="24"/>
          <w:szCs w:val="24"/>
        </w:rPr>
        <w:t xml:space="preserve"> 2022.</w:t>
      </w:r>
    </w:p>
    <w:p w14:paraId="0772035A" w14:textId="77777777" w:rsidR="00483017" w:rsidRDefault="00483017" w:rsidP="006E1898">
      <w:pPr>
        <w:spacing w:line="240" w:lineRule="auto"/>
        <w:rPr>
          <w:sz w:val="24"/>
          <w:szCs w:val="24"/>
        </w:rPr>
      </w:pPr>
    </w:p>
    <w:p w14:paraId="3D72637A" w14:textId="5DB46A7B" w:rsidR="00483017" w:rsidRPr="00483017" w:rsidRDefault="00483017" w:rsidP="00483017">
      <w:pPr>
        <w:spacing w:line="240" w:lineRule="auto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  <w:r w:rsidRPr="00483017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MIRANDA, Camile C. </w:t>
      </w:r>
      <w:r w:rsidRPr="00483017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Estudo morfológico em línguas Arawak</w:t>
      </w:r>
      <w:r w:rsidRPr="00484C37">
        <w:rPr>
          <w:rFonts w:eastAsia="Calibri"/>
          <w:kern w:val="2"/>
          <w:sz w:val="24"/>
          <w:szCs w:val="24"/>
          <w:lang w:eastAsia="en-US"/>
          <w14:ligatures w14:val="standardContextual"/>
        </w:rPr>
        <w:t>: uma abordagem tipológica.</w:t>
      </w:r>
      <w:r w:rsidRPr="00483017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2023. 677 </w:t>
      </w:r>
      <w:r>
        <w:rPr>
          <w:rFonts w:eastAsia="Calibri"/>
          <w:kern w:val="2"/>
          <w:sz w:val="24"/>
          <w:szCs w:val="24"/>
          <w:lang w:eastAsia="en-US"/>
          <w14:ligatures w14:val="standardContextual"/>
        </w:rPr>
        <w:t>p</w:t>
      </w:r>
      <w:r w:rsidRPr="00483017">
        <w:rPr>
          <w:rFonts w:eastAsia="Calibri"/>
          <w:kern w:val="2"/>
          <w:sz w:val="24"/>
          <w:szCs w:val="24"/>
          <w:lang w:eastAsia="en-US"/>
          <w14:ligatures w14:val="standardContextual"/>
        </w:rPr>
        <w:t>. Tese (Doutorado) - Universidade Estadual de Campinas</w:t>
      </w:r>
      <w:r w:rsidR="00484C37">
        <w:rPr>
          <w:rFonts w:eastAsia="Calibri"/>
          <w:kern w:val="2"/>
          <w:sz w:val="24"/>
          <w:szCs w:val="24"/>
          <w:lang w:eastAsia="en-US"/>
          <w14:ligatures w14:val="standardContextual"/>
        </w:rPr>
        <w:t>,</w:t>
      </w:r>
      <w:r w:rsidRPr="00483017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Campinas, 2023.</w:t>
      </w:r>
      <w:r w:rsidR="00484C37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Disponível em: </w:t>
      </w:r>
      <w:hyperlink r:id="rId6" w:history="1">
        <w:r w:rsidR="00484C37" w:rsidRPr="00DB2F28">
          <w:rPr>
            <w:rStyle w:val="Hyperlink"/>
            <w:rFonts w:eastAsia="Calibri"/>
            <w:kern w:val="2"/>
            <w:sz w:val="24"/>
            <w:szCs w:val="24"/>
            <w:lang w:eastAsia="en-US"/>
            <w14:ligatures w14:val="standardContextual"/>
          </w:rPr>
          <w:t>https://repositorio.unicamp.br/acervo/detalhe/1342902</w:t>
        </w:r>
      </w:hyperlink>
      <w:r w:rsidR="00484C37">
        <w:rPr>
          <w:rFonts w:eastAsia="Calibri"/>
          <w:kern w:val="2"/>
          <w:sz w:val="24"/>
          <w:szCs w:val="24"/>
          <w:lang w:eastAsia="en-US"/>
          <w14:ligatures w14:val="standardContextual"/>
        </w:rPr>
        <w:t>. Acesso em: 30 jul. 2026.</w:t>
      </w:r>
    </w:p>
    <w:p w14:paraId="3430839E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</w:rPr>
      </w:pPr>
    </w:p>
    <w:p w14:paraId="4E9C8A25" w14:textId="63772A5F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NOGUEIRA, Lua C. </w:t>
      </w:r>
      <w:r w:rsidRPr="006E1898">
        <w:rPr>
          <w:b/>
          <w:bCs/>
          <w:sz w:val="24"/>
          <w:szCs w:val="24"/>
        </w:rPr>
        <w:t xml:space="preserve">A categoria linguística de gênero nas línguas indígenas do Brasil: </w:t>
      </w:r>
      <w:r w:rsidRPr="001D13A8">
        <w:rPr>
          <w:sz w:val="24"/>
          <w:szCs w:val="24"/>
        </w:rPr>
        <w:t>um estudo tipológico-funcional</w:t>
      </w:r>
      <w:r w:rsidRPr="006E1898">
        <w:rPr>
          <w:sz w:val="24"/>
          <w:szCs w:val="24"/>
        </w:rPr>
        <w:t xml:space="preserve">. 2026. 395 p. Tese (Doutorado) - Universidade Estadual Paulista, São José do Rio Preto, 2026. Disponível em: </w:t>
      </w:r>
      <w:hyperlink r:id="rId7" w:tgtFrame="_blank" w:history="1">
        <w:r w:rsidRPr="006E1898">
          <w:rPr>
            <w:rStyle w:val="Hyperlink"/>
            <w:sz w:val="24"/>
            <w:szCs w:val="24"/>
          </w:rPr>
          <w:t>https://hdl.handle.net/11449/325044</w:t>
        </w:r>
      </w:hyperlink>
      <w:r w:rsidRPr="006E1898">
        <w:rPr>
          <w:sz w:val="24"/>
          <w:szCs w:val="24"/>
        </w:rPr>
        <w:t>. Acesso em: 29 jul. 2026.</w:t>
      </w:r>
    </w:p>
    <w:p w14:paraId="6B60D9C3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666C894D" w14:textId="6E746D75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NÚÑEZ, Geni. As monoculturas como violação da singularidade. </w:t>
      </w:r>
      <w:r w:rsidRPr="006E1898">
        <w:rPr>
          <w:b/>
          <w:bCs/>
          <w:sz w:val="24"/>
          <w:szCs w:val="24"/>
        </w:rPr>
        <w:t>Jornal de Psicanálise</w:t>
      </w:r>
      <w:r w:rsidRPr="006E1898">
        <w:rPr>
          <w:sz w:val="24"/>
          <w:szCs w:val="24"/>
        </w:rPr>
        <w:t xml:space="preserve">, 56 (105), </w:t>
      </w:r>
      <w:r w:rsidR="00E50E25">
        <w:rPr>
          <w:sz w:val="24"/>
          <w:szCs w:val="24"/>
        </w:rPr>
        <w:t xml:space="preserve">p. </w:t>
      </w:r>
      <w:r w:rsidRPr="006E1898">
        <w:rPr>
          <w:sz w:val="24"/>
          <w:szCs w:val="24"/>
        </w:rPr>
        <w:t>107-120. 2023. DOI:</w:t>
      </w:r>
      <w:r w:rsidRPr="006E1898">
        <w:rPr>
          <w:b/>
          <w:bCs/>
          <w:sz w:val="24"/>
          <w:szCs w:val="24"/>
        </w:rPr>
        <w:t xml:space="preserve"> </w:t>
      </w:r>
      <w:r w:rsidRPr="006E1898">
        <w:rPr>
          <w:sz w:val="24"/>
          <w:szCs w:val="24"/>
        </w:rPr>
        <w:t>10.5935/0103-5835.v56n105.08.</w:t>
      </w:r>
    </w:p>
    <w:p w14:paraId="6FE77E1C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6CDC4355" w14:textId="4C2561A9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OYĚWÙMÍ, Oyèrónkẹ́. </w:t>
      </w:r>
      <w:r w:rsidRPr="006E1898">
        <w:rPr>
          <w:b/>
          <w:bCs/>
          <w:sz w:val="24"/>
          <w:szCs w:val="24"/>
        </w:rPr>
        <w:t>A invenção das mulheres:</w:t>
      </w:r>
      <w:r w:rsidR="001D13A8">
        <w:rPr>
          <w:b/>
          <w:bCs/>
          <w:sz w:val="24"/>
          <w:szCs w:val="24"/>
        </w:rPr>
        <w:t xml:space="preserve"> </w:t>
      </w:r>
      <w:r w:rsidRPr="001D13A8">
        <w:rPr>
          <w:sz w:val="24"/>
          <w:szCs w:val="24"/>
        </w:rPr>
        <w:t xml:space="preserve">construindo um sentido africano para os discursos ocidentais de gênero. </w:t>
      </w:r>
      <w:r w:rsidRPr="006E1898">
        <w:rPr>
          <w:sz w:val="24"/>
          <w:szCs w:val="24"/>
        </w:rPr>
        <w:t>Tradução de Wanderson Flor do Nascimento. 1 ed. Rio de Janeiro: Bazar do Tempo, 2021 [1997].</w:t>
      </w:r>
    </w:p>
    <w:p w14:paraId="40CE37D1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59101774" w14:textId="77777777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RUBIM, Altaci C. A vitalização da Língua Kokama além das fronteiras entre o Brasil e o Peru. </w:t>
      </w:r>
      <w:r w:rsidRPr="006E1898">
        <w:rPr>
          <w:b/>
          <w:bCs/>
          <w:sz w:val="24"/>
          <w:szCs w:val="24"/>
        </w:rPr>
        <w:t>Cadernos de Linguística</w:t>
      </w:r>
      <w:r w:rsidRPr="006E1898">
        <w:rPr>
          <w:sz w:val="24"/>
          <w:szCs w:val="24"/>
        </w:rPr>
        <w:t>, v. 1, n. 3. p. 01-18, 2020.</w:t>
      </w:r>
    </w:p>
    <w:p w14:paraId="3263DBA5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4024283C" w14:textId="3BEE0808" w:rsidR="00145190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  <w:r w:rsidRPr="006E1898">
        <w:rPr>
          <w:sz w:val="24"/>
          <w:szCs w:val="24"/>
        </w:rPr>
        <w:t xml:space="preserve">VIVEIROS DE CASTRO, Eduardo. Cosmological deixis and Amerindian perspectivism. </w:t>
      </w:r>
      <w:r w:rsidRPr="006E1898">
        <w:rPr>
          <w:b/>
          <w:bCs/>
          <w:sz w:val="24"/>
          <w:szCs w:val="24"/>
        </w:rPr>
        <w:t>Journal of the Royal Anthropological Institute</w:t>
      </w:r>
      <w:r w:rsidRPr="006E1898">
        <w:rPr>
          <w:sz w:val="24"/>
          <w:szCs w:val="24"/>
        </w:rPr>
        <w:t>, v. 4, n. 3, p. 469-488, 1998.</w:t>
      </w:r>
    </w:p>
    <w:sectPr w:rsidR="00145190" w:rsidRPr="006E1898" w:rsidSect="00F56A33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541C" w14:textId="77777777" w:rsidR="00700AEA" w:rsidRDefault="00700AEA">
      <w:pPr>
        <w:spacing w:line="240" w:lineRule="auto"/>
      </w:pPr>
      <w:r>
        <w:separator/>
      </w:r>
    </w:p>
  </w:endnote>
  <w:endnote w:type="continuationSeparator" w:id="0">
    <w:p w14:paraId="384BB1D8" w14:textId="77777777" w:rsidR="00700AEA" w:rsidRDefault="00700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383585A-D214-466D-A45A-617EF0179B5B}"/>
    <w:embedBold r:id="rId2" w:fontKey="{37B9FA45-3DBB-4046-92FF-7A78F7B4A231}"/>
    <w:embedItalic r:id="rId3" w:fontKey="{1B2F8545-9627-4A1F-80D2-FE9C6D961A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1F7430-6924-48A5-A33A-2517BE91A3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8EFE" w14:textId="77777777" w:rsidR="0014519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56A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2749" w14:textId="77777777" w:rsidR="00700AEA" w:rsidRDefault="00700AEA">
      <w:pPr>
        <w:spacing w:line="240" w:lineRule="auto"/>
      </w:pPr>
      <w:r>
        <w:separator/>
      </w:r>
    </w:p>
  </w:footnote>
  <w:footnote w:type="continuationSeparator" w:id="0">
    <w:p w14:paraId="300154A7" w14:textId="77777777" w:rsidR="00700AEA" w:rsidRDefault="00700A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FF23" w14:textId="77777777" w:rsidR="00145190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195D66" wp14:editId="7320C4A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B2445A1" wp14:editId="4990161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74A6B8" w14:textId="77777777" w:rsidR="00145190" w:rsidRDefault="00145190">
    <w:pPr>
      <w:jc w:val="right"/>
    </w:pPr>
  </w:p>
  <w:p w14:paraId="7F2CEC35" w14:textId="77777777" w:rsidR="00145190" w:rsidRDefault="00145190">
    <w:pPr>
      <w:jc w:val="right"/>
    </w:pPr>
  </w:p>
  <w:p w14:paraId="796EA7C2" w14:textId="77777777" w:rsidR="00145190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AD5491" wp14:editId="0F920616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190"/>
    <w:rsid w:val="0010629C"/>
    <w:rsid w:val="00145190"/>
    <w:rsid w:val="001D13A8"/>
    <w:rsid w:val="003917FA"/>
    <w:rsid w:val="00483017"/>
    <w:rsid w:val="00484C37"/>
    <w:rsid w:val="006C6D63"/>
    <w:rsid w:val="006E1898"/>
    <w:rsid w:val="00700AEA"/>
    <w:rsid w:val="008300B8"/>
    <w:rsid w:val="008E4C6C"/>
    <w:rsid w:val="00A30427"/>
    <w:rsid w:val="00A960E0"/>
    <w:rsid w:val="00E50E25"/>
    <w:rsid w:val="00EF6EA2"/>
    <w:rsid w:val="00F56A33"/>
    <w:rsid w:val="00F8083A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757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E1898"/>
    <w:pPr>
      <w:spacing w:line="240" w:lineRule="auto"/>
      <w:jc w:val="both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E1898"/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E189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4C3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3042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0427"/>
  </w:style>
  <w:style w:type="paragraph" w:styleId="Rodap">
    <w:name w:val="footer"/>
    <w:basedOn w:val="Normal"/>
    <w:link w:val="RodapChar"/>
    <w:uiPriority w:val="99"/>
    <w:unhideWhenUsed/>
    <w:rsid w:val="00A3042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0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hdl.handle.net/11449/32504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positorio.unicamp.br/acervo/detalhe/1342902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1311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2026-07-30T15:04:00Z</dcterms:created>
  <dcterms:modified xsi:type="dcterms:W3CDTF">2026-07-30T15:11:00Z</dcterms:modified>
</cp:coreProperties>
</file>