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75E47" w14:textId="2ED6E7C1" w:rsidR="00E1076E" w:rsidRDefault="00012110">
      <w:pPr>
        <w:keepLines/>
        <w:widowControl w:val="0"/>
        <w:spacing w:line="240" w:lineRule="auto"/>
        <w:jc w:val="center"/>
        <w:rPr>
          <w:sz w:val="24"/>
          <w:szCs w:val="24"/>
        </w:rPr>
      </w:pPr>
      <w:r w:rsidRPr="00012110">
        <w:rPr>
          <w:b/>
          <w:bCs/>
          <w:sz w:val="24"/>
          <w:szCs w:val="24"/>
        </w:rPr>
        <w:t>CONVERSATÓRIO 15 - GÊNERO, RAÇA E SEXUALIDADE NA EDUCAÇÃO: INTERSECCIONALIDADES, TERRITÓRIOS DE (RE)EXISTÊNCIA E PEDAGOGIAS DESOBEDIENTES</w:t>
      </w:r>
    </w:p>
    <w:p w14:paraId="08D887C3" w14:textId="77777777" w:rsidR="00E1076E" w:rsidRDefault="00E1076E">
      <w:pPr>
        <w:keepLines/>
        <w:widowControl w:val="0"/>
        <w:spacing w:line="240" w:lineRule="auto"/>
        <w:rPr>
          <w:b/>
          <w:bCs/>
          <w:sz w:val="24"/>
          <w:szCs w:val="24"/>
        </w:rPr>
      </w:pPr>
    </w:p>
    <w:p w14:paraId="75DCFFA1" w14:textId="77777777" w:rsidR="00E1076E" w:rsidRDefault="00E1076E">
      <w:pPr>
        <w:keepLines/>
        <w:widowControl w:val="0"/>
        <w:spacing w:line="240" w:lineRule="auto"/>
        <w:rPr>
          <w:b/>
          <w:bCs/>
          <w:sz w:val="24"/>
          <w:szCs w:val="24"/>
        </w:rPr>
      </w:pPr>
    </w:p>
    <w:p w14:paraId="3A47C1BE" w14:textId="7029945D" w:rsidR="00E1076E" w:rsidRDefault="009C6286">
      <w:pPr>
        <w:keepLines/>
        <w:widowControl w:val="0"/>
        <w:spacing w:line="240" w:lineRule="auto"/>
        <w:jc w:val="center"/>
        <w:rPr>
          <w:b/>
          <w:bCs/>
          <w:sz w:val="24"/>
          <w:szCs w:val="24"/>
        </w:rPr>
      </w:pPr>
      <w:r>
        <w:rPr>
          <w:b/>
          <w:bCs/>
          <w:sz w:val="24"/>
          <w:szCs w:val="24"/>
        </w:rPr>
        <w:t xml:space="preserve"> </w:t>
      </w:r>
      <w:r w:rsidR="00921F66" w:rsidRPr="00921F66">
        <w:rPr>
          <w:b/>
          <w:bCs/>
          <w:sz w:val="24"/>
          <w:szCs w:val="24"/>
        </w:rPr>
        <w:t xml:space="preserve">Mulher, território de si própria: </w:t>
      </w:r>
      <w:r w:rsidR="00921F66">
        <w:rPr>
          <w:b/>
          <w:bCs/>
          <w:sz w:val="24"/>
          <w:szCs w:val="24"/>
        </w:rPr>
        <w:t xml:space="preserve">entre o </w:t>
      </w:r>
      <w:r w:rsidR="00921F66" w:rsidRPr="00921F66">
        <w:rPr>
          <w:b/>
          <w:bCs/>
          <w:sz w:val="24"/>
          <w:szCs w:val="24"/>
        </w:rPr>
        <w:t xml:space="preserve">protagonismo e </w:t>
      </w:r>
      <w:r w:rsidR="00921F66">
        <w:rPr>
          <w:b/>
          <w:bCs/>
          <w:sz w:val="24"/>
          <w:szCs w:val="24"/>
        </w:rPr>
        <w:t xml:space="preserve">a </w:t>
      </w:r>
      <w:r w:rsidR="00921F66" w:rsidRPr="00921F66">
        <w:rPr>
          <w:b/>
          <w:bCs/>
          <w:sz w:val="24"/>
          <w:szCs w:val="24"/>
        </w:rPr>
        <w:t>invisibilidade das mulheres no Assentamento Sepé Tiaraju</w:t>
      </w:r>
      <w:r>
        <w:rPr>
          <w:b/>
          <w:bCs/>
          <w:sz w:val="24"/>
          <w:szCs w:val="24"/>
        </w:rPr>
        <w:t xml:space="preserve"> </w:t>
      </w:r>
    </w:p>
    <w:p w14:paraId="5691FE8F" w14:textId="77777777" w:rsidR="00E1076E" w:rsidRDefault="00E1076E">
      <w:pPr>
        <w:keepLines/>
        <w:widowControl w:val="0"/>
        <w:spacing w:line="240" w:lineRule="auto"/>
        <w:rPr>
          <w:sz w:val="24"/>
          <w:szCs w:val="24"/>
        </w:rPr>
      </w:pPr>
    </w:p>
    <w:p w14:paraId="39DF9AAD" w14:textId="77777777" w:rsidR="00E1076E" w:rsidRDefault="00E1076E">
      <w:pPr>
        <w:keepLines/>
        <w:widowControl w:val="0"/>
        <w:spacing w:line="240" w:lineRule="auto"/>
        <w:jc w:val="right"/>
        <w:rPr>
          <w:sz w:val="24"/>
          <w:szCs w:val="24"/>
        </w:rPr>
      </w:pPr>
    </w:p>
    <w:p w14:paraId="523DB9CF" w14:textId="0F2A17F3" w:rsidR="00E1076E" w:rsidRDefault="00085F65">
      <w:pPr>
        <w:keepLines/>
        <w:widowControl w:val="0"/>
        <w:spacing w:line="240" w:lineRule="auto"/>
        <w:jc w:val="right"/>
        <w:rPr>
          <w:sz w:val="24"/>
          <w:szCs w:val="24"/>
        </w:rPr>
      </w:pPr>
      <w:r w:rsidRPr="00085F65">
        <w:rPr>
          <w:sz w:val="24"/>
          <w:szCs w:val="24"/>
        </w:rPr>
        <w:t xml:space="preserve">Edna Maria Correia Dela </w:t>
      </w:r>
      <w:proofErr w:type="spellStart"/>
      <w:r w:rsidRPr="00085F65">
        <w:rPr>
          <w:sz w:val="24"/>
          <w:szCs w:val="24"/>
        </w:rPr>
        <w:t>Noce</w:t>
      </w:r>
      <w:proofErr w:type="spellEnd"/>
      <w:r w:rsidR="009C6286">
        <w:rPr>
          <w:sz w:val="24"/>
          <w:szCs w:val="24"/>
        </w:rPr>
        <w:t xml:space="preserve">, </w:t>
      </w:r>
      <w:r w:rsidR="001F4623">
        <w:rPr>
          <w:sz w:val="24"/>
          <w:szCs w:val="24"/>
        </w:rPr>
        <w:t>UFTM</w:t>
      </w:r>
      <w:r w:rsidR="00C36BD3">
        <w:rPr>
          <w:rStyle w:val="Refdenotaderodap"/>
          <w:sz w:val="24"/>
          <w:szCs w:val="24"/>
        </w:rPr>
        <w:footnoteReference w:id="1"/>
      </w:r>
      <w:r w:rsidR="009C6286">
        <w:rPr>
          <w:sz w:val="24"/>
          <w:szCs w:val="24"/>
        </w:rPr>
        <w:t xml:space="preserve">, </w:t>
      </w:r>
      <w:r w:rsidR="00246B8C">
        <w:t>d202320088@uftm.edu.br</w:t>
      </w:r>
    </w:p>
    <w:p w14:paraId="250E27AC" w14:textId="07EFFAD6" w:rsidR="00E1076E" w:rsidRDefault="00246B8C">
      <w:pPr>
        <w:keepLines/>
        <w:widowControl w:val="0"/>
        <w:spacing w:line="240" w:lineRule="auto"/>
        <w:jc w:val="right"/>
        <w:rPr>
          <w:sz w:val="24"/>
          <w:szCs w:val="24"/>
        </w:rPr>
      </w:pPr>
      <w:r>
        <w:rPr>
          <w:sz w:val="24"/>
          <w:szCs w:val="24"/>
        </w:rPr>
        <w:t>Tânia Halley Oliveira Pinto</w:t>
      </w:r>
      <w:r w:rsidR="009C6286">
        <w:rPr>
          <w:sz w:val="24"/>
          <w:szCs w:val="24"/>
        </w:rPr>
        <w:t xml:space="preserve">, </w:t>
      </w:r>
      <w:r>
        <w:rPr>
          <w:sz w:val="24"/>
          <w:szCs w:val="24"/>
        </w:rPr>
        <w:t>U</w:t>
      </w:r>
      <w:r w:rsidR="00642967">
        <w:rPr>
          <w:sz w:val="24"/>
          <w:szCs w:val="24"/>
        </w:rPr>
        <w:t>FTM</w:t>
      </w:r>
      <w:r w:rsidR="009C6286">
        <w:rPr>
          <w:sz w:val="24"/>
          <w:szCs w:val="24"/>
        </w:rPr>
        <w:t xml:space="preserve">, </w:t>
      </w:r>
      <w:r w:rsidR="00642967">
        <w:rPr>
          <w:sz w:val="24"/>
          <w:szCs w:val="24"/>
        </w:rPr>
        <w:t>tania.halley@uftm.edu.br</w:t>
      </w:r>
    </w:p>
    <w:p w14:paraId="439053D3" w14:textId="77777777" w:rsidR="00E1076E" w:rsidRDefault="00E1076E">
      <w:pPr>
        <w:keepLines/>
        <w:widowControl w:val="0"/>
        <w:spacing w:line="360" w:lineRule="auto"/>
        <w:rPr>
          <w:b/>
          <w:bCs/>
          <w:sz w:val="24"/>
          <w:szCs w:val="24"/>
        </w:rPr>
      </w:pPr>
    </w:p>
    <w:p w14:paraId="0904E51F" w14:textId="77777777" w:rsidR="00C36BD3" w:rsidRDefault="00C36BD3">
      <w:pPr>
        <w:keepLines/>
        <w:widowControl w:val="0"/>
        <w:spacing w:line="360" w:lineRule="auto"/>
        <w:rPr>
          <w:b/>
          <w:bCs/>
          <w:sz w:val="24"/>
          <w:szCs w:val="24"/>
        </w:rPr>
      </w:pPr>
    </w:p>
    <w:p w14:paraId="12ECA590" w14:textId="77777777" w:rsidR="00E1076E" w:rsidRDefault="009C6286">
      <w:pPr>
        <w:keepLines/>
        <w:widowControl w:val="0"/>
        <w:spacing w:line="360" w:lineRule="auto"/>
        <w:rPr>
          <w:b/>
          <w:bCs/>
          <w:sz w:val="24"/>
          <w:szCs w:val="24"/>
        </w:rPr>
      </w:pPr>
      <w:r>
        <w:rPr>
          <w:b/>
          <w:bCs/>
          <w:sz w:val="24"/>
          <w:szCs w:val="24"/>
        </w:rPr>
        <w:t>RESUMO</w:t>
      </w:r>
    </w:p>
    <w:p w14:paraId="182B87E0" w14:textId="3976883D" w:rsidR="00525F7E" w:rsidRPr="001770E8" w:rsidRDefault="00525F7E" w:rsidP="00525F7E">
      <w:pPr>
        <w:spacing w:line="360" w:lineRule="auto"/>
        <w:jc w:val="both"/>
        <w:rPr>
          <w:sz w:val="24"/>
          <w:szCs w:val="24"/>
        </w:rPr>
      </w:pPr>
      <w:r w:rsidRPr="001770E8">
        <w:rPr>
          <w:sz w:val="24"/>
          <w:szCs w:val="24"/>
        </w:rPr>
        <w:t>O reconhecimento das mulheres camponesas como protagonistas na luta e construção dos territórios rurais ainda é um dos desafios enfrentados por ações voltadas à promoção da equidade de gênero. No Assentamento Sepé Tiaraju, em Serra Azul/SP, embora as mulheres desempenhem um papel fundamental na agricultura familiar, na organização da vida comunitária e nas frentes de luta pela terra, sua contribuição para a produção e para a construção do território ainda carecem de reconhecimento social.</w:t>
      </w:r>
      <w:r w:rsidR="003B5039">
        <w:rPr>
          <w:sz w:val="24"/>
          <w:szCs w:val="24"/>
        </w:rPr>
        <w:t xml:space="preserve"> </w:t>
      </w:r>
      <w:r w:rsidRPr="001770E8">
        <w:rPr>
          <w:sz w:val="24"/>
          <w:szCs w:val="24"/>
        </w:rPr>
        <w:t xml:space="preserve">Buscando o enfrentamento dessa realidade, o projeto de extensão universitária "Mulher: Território de Si Própria", da Universidade Federal do Triângulo Mineiro (UFTM), parte da seguinte questão: Por que o trabalho das mulheres no campo é nomeado como "ajuda" e não como trabalho central, invisibilizando sua figura e seu protagonismo? Essa questão central se desdobra nos objetivos do projeto de extensão que são: i.  Dar visibilidade ao trabalho das mulheres do Assentamento Sepé Tiaraju na agricultura, na organização comunitária e na construção do assentamento; </w:t>
      </w:r>
      <w:proofErr w:type="spellStart"/>
      <w:r w:rsidRPr="001770E8">
        <w:rPr>
          <w:sz w:val="24"/>
          <w:szCs w:val="24"/>
        </w:rPr>
        <w:t>ii</w:t>
      </w:r>
      <w:proofErr w:type="spellEnd"/>
      <w:r w:rsidRPr="001770E8">
        <w:rPr>
          <w:sz w:val="24"/>
          <w:szCs w:val="24"/>
        </w:rPr>
        <w:t>. Discutir como a divisão sexual do trabalho produz a invisibilidade dessas mulheres; 3. Defender o reconhecimento dessas mulheres como sujeitos centrais na construção da história do assentamento.  É desse contexto que emerge este relato de experiência</w:t>
      </w:r>
      <w:r w:rsidR="00B93F0F">
        <w:rPr>
          <w:sz w:val="24"/>
          <w:szCs w:val="24"/>
        </w:rPr>
        <w:t>.</w:t>
      </w:r>
      <w:r w:rsidRPr="001770E8">
        <w:rPr>
          <w:sz w:val="24"/>
          <w:szCs w:val="24"/>
        </w:rPr>
        <w:t xml:space="preserve"> </w:t>
      </w:r>
    </w:p>
    <w:p w14:paraId="59085C10" w14:textId="41C00F76" w:rsidR="00525F7E" w:rsidRPr="001770E8" w:rsidRDefault="00525F7E" w:rsidP="00525F7E">
      <w:pPr>
        <w:spacing w:line="360" w:lineRule="auto"/>
        <w:jc w:val="both"/>
        <w:rPr>
          <w:sz w:val="24"/>
          <w:szCs w:val="24"/>
        </w:rPr>
      </w:pPr>
      <w:r w:rsidRPr="001770E8">
        <w:rPr>
          <w:sz w:val="24"/>
          <w:szCs w:val="24"/>
        </w:rPr>
        <w:t>O projeto acontece por meio de oficinas, mediad</w:t>
      </w:r>
      <w:r w:rsidR="00E840FB">
        <w:rPr>
          <w:sz w:val="24"/>
          <w:szCs w:val="24"/>
        </w:rPr>
        <w:t>a</w:t>
      </w:r>
      <w:r w:rsidRPr="001770E8">
        <w:rPr>
          <w:sz w:val="24"/>
          <w:szCs w:val="24"/>
        </w:rPr>
        <w:t>s pelas autoras deste trabalho, onde as mulheres do assentamento atuam como partícipes do processo, analisando coletivamente os pontos de sobrecarga, necessidade de reconhecimento e produção de invisibilidade</w:t>
      </w:r>
      <w:r w:rsidR="00E840FB">
        <w:rPr>
          <w:sz w:val="24"/>
          <w:szCs w:val="24"/>
        </w:rPr>
        <w:t xml:space="preserve"> feminina</w:t>
      </w:r>
      <w:r w:rsidRPr="001770E8">
        <w:rPr>
          <w:sz w:val="24"/>
          <w:szCs w:val="24"/>
        </w:rPr>
        <w:t>.</w:t>
      </w:r>
      <w:r w:rsidRPr="001770E8">
        <w:rPr>
          <w:sz w:val="24"/>
          <w:szCs w:val="24"/>
        </w:rPr>
        <w:t xml:space="preserve"> Até o momento ocorreram três encontros com as seguintes </w:t>
      </w:r>
      <w:r w:rsidRPr="001770E8">
        <w:rPr>
          <w:sz w:val="24"/>
          <w:szCs w:val="24"/>
        </w:rPr>
        <w:lastRenderedPageBreak/>
        <w:t xml:space="preserve">temáticas: </w:t>
      </w:r>
      <w:r w:rsidRPr="001770E8">
        <w:rPr>
          <w:sz w:val="24"/>
          <w:szCs w:val="24"/>
        </w:rPr>
        <w:t xml:space="preserve">a. </w:t>
      </w:r>
      <w:r w:rsidRPr="001770E8">
        <w:rPr>
          <w:sz w:val="24"/>
          <w:szCs w:val="24"/>
        </w:rPr>
        <w:t>“Isto é Deles ou Delas?”, que question</w:t>
      </w:r>
      <w:r w:rsidRPr="001770E8">
        <w:rPr>
          <w:sz w:val="24"/>
          <w:szCs w:val="24"/>
        </w:rPr>
        <w:t>ou</w:t>
      </w:r>
      <w:r w:rsidRPr="001770E8">
        <w:rPr>
          <w:sz w:val="24"/>
          <w:szCs w:val="24"/>
        </w:rPr>
        <w:t xml:space="preserve"> a divisão </w:t>
      </w:r>
      <w:r w:rsidRPr="001770E8">
        <w:rPr>
          <w:sz w:val="24"/>
          <w:szCs w:val="24"/>
        </w:rPr>
        <w:t>sexual do trabalho dentro do próprio território</w:t>
      </w:r>
      <w:r w:rsidRPr="001770E8">
        <w:rPr>
          <w:sz w:val="24"/>
          <w:szCs w:val="24"/>
        </w:rPr>
        <w:t xml:space="preserve">; </w:t>
      </w:r>
      <w:proofErr w:type="spellStart"/>
      <w:r w:rsidRPr="001770E8">
        <w:rPr>
          <w:sz w:val="24"/>
          <w:szCs w:val="24"/>
        </w:rPr>
        <w:t>ii</w:t>
      </w:r>
      <w:proofErr w:type="spellEnd"/>
      <w:r w:rsidRPr="001770E8">
        <w:rPr>
          <w:sz w:val="24"/>
          <w:szCs w:val="24"/>
        </w:rPr>
        <w:t xml:space="preserve">. </w:t>
      </w:r>
      <w:r w:rsidRPr="001770E8">
        <w:rPr>
          <w:sz w:val="24"/>
          <w:szCs w:val="24"/>
        </w:rPr>
        <w:t>“Tempo para Todos Menos para Mim”, que reflet</w:t>
      </w:r>
      <w:r w:rsidRPr="001770E8">
        <w:rPr>
          <w:sz w:val="24"/>
          <w:szCs w:val="24"/>
        </w:rPr>
        <w:t>iu</w:t>
      </w:r>
      <w:r w:rsidRPr="001770E8">
        <w:rPr>
          <w:sz w:val="24"/>
          <w:szCs w:val="24"/>
        </w:rPr>
        <w:t xml:space="preserve"> sobre a sobrecarga de trabalho das mulheres; </w:t>
      </w:r>
      <w:proofErr w:type="spellStart"/>
      <w:r w:rsidRPr="001770E8">
        <w:rPr>
          <w:sz w:val="24"/>
          <w:szCs w:val="24"/>
        </w:rPr>
        <w:t>iii</w:t>
      </w:r>
      <w:proofErr w:type="spellEnd"/>
      <w:r w:rsidRPr="001770E8">
        <w:rPr>
          <w:sz w:val="24"/>
          <w:szCs w:val="24"/>
        </w:rPr>
        <w:t xml:space="preserve">. </w:t>
      </w:r>
      <w:r w:rsidRPr="001770E8">
        <w:rPr>
          <w:sz w:val="24"/>
          <w:szCs w:val="24"/>
        </w:rPr>
        <w:t>“Coletivamente Somos Mais Fortes”, que estimul</w:t>
      </w:r>
      <w:r w:rsidRPr="001770E8">
        <w:rPr>
          <w:sz w:val="24"/>
          <w:szCs w:val="24"/>
        </w:rPr>
        <w:t>ou</w:t>
      </w:r>
      <w:r w:rsidRPr="001770E8">
        <w:rPr>
          <w:sz w:val="24"/>
          <w:szCs w:val="24"/>
        </w:rPr>
        <w:t xml:space="preserve"> a </w:t>
      </w:r>
      <w:r w:rsidRPr="001770E8">
        <w:rPr>
          <w:sz w:val="24"/>
          <w:szCs w:val="24"/>
        </w:rPr>
        <w:t xml:space="preserve">reflexão sobre </w:t>
      </w:r>
      <w:r w:rsidRPr="001770E8">
        <w:rPr>
          <w:sz w:val="24"/>
          <w:szCs w:val="24"/>
        </w:rPr>
        <w:t>organização política</w:t>
      </w:r>
      <w:r w:rsidRPr="001770E8">
        <w:rPr>
          <w:sz w:val="24"/>
          <w:szCs w:val="24"/>
        </w:rPr>
        <w:t xml:space="preserve"> das mulheres do assentamento, problematizando a ausência das mulheres do Sepé Tiaraju em espaços formais de poder e estimulando a reflexão sobre as formas possíveis de sua própria articulação.</w:t>
      </w:r>
    </w:p>
    <w:p w14:paraId="6CCA9D37" w14:textId="77777777" w:rsidR="00525F7E" w:rsidRPr="001770E8" w:rsidRDefault="00525F7E" w:rsidP="00525F7E">
      <w:pPr>
        <w:spacing w:line="360" w:lineRule="auto"/>
        <w:jc w:val="both"/>
        <w:rPr>
          <w:sz w:val="24"/>
          <w:szCs w:val="24"/>
        </w:rPr>
      </w:pPr>
      <w:r w:rsidRPr="001770E8">
        <w:rPr>
          <w:sz w:val="24"/>
          <w:szCs w:val="24"/>
        </w:rPr>
        <w:t>As discussões produzidas ao longo das oficinas evidenciaram que as narrativas compartilhadas pelas participantes extrapolam experiências individuais e expressam processos históricos e sociais que estruturam as relações de gênero no mundo e que não é diferente no meio rural. Ao refletirem sobre suas trajetórias de vida, seus cotidianos de trabalho e sua participação na construção do assentamento, as mulheres revelaram que muitas das desigualdades vivenciadas são naturalizadas e, por isso, permanecem pouco percebidas, inclusive por elas próprias. Compreender essas experiências exigiu recorrer a referenciais capazes de interpretar as relações entre território, gênero, trabalho e produção de saberes.</w:t>
      </w:r>
    </w:p>
    <w:p w14:paraId="38E756E5" w14:textId="58A98538" w:rsidR="00525F7E" w:rsidRPr="001770E8" w:rsidRDefault="00525F7E" w:rsidP="00525F7E">
      <w:pPr>
        <w:spacing w:line="360" w:lineRule="auto"/>
        <w:jc w:val="both"/>
        <w:rPr>
          <w:sz w:val="24"/>
          <w:szCs w:val="24"/>
        </w:rPr>
      </w:pPr>
      <w:r w:rsidRPr="001770E8">
        <w:rPr>
          <w:sz w:val="24"/>
          <w:szCs w:val="24"/>
        </w:rPr>
        <w:t>Nessa direção, partimos de Fernandes (2009), que afirma que território é espaço de vida, trabalho, poder e disputa. Nos assentamentos, embora homens e mulheres participem ativamente da construção do território, as contribuições femininas tendem a ocupar posições secundárias nas narrativas históricas e nos processos de reconhecimento social. Essa constatação dialoga diretamente com a realidade observada no Assentamento Sepé Tiaraju, onde a participação das mulheres na produção, na organização comunitária e na luta pela terra permanece frequentemente pouco nomeada.</w:t>
      </w:r>
    </w:p>
    <w:p w14:paraId="1DFD7373" w14:textId="77777777" w:rsidR="00525F7E" w:rsidRPr="001770E8" w:rsidRDefault="00525F7E" w:rsidP="00525F7E">
      <w:pPr>
        <w:spacing w:line="360" w:lineRule="auto"/>
        <w:jc w:val="both"/>
        <w:rPr>
          <w:sz w:val="24"/>
          <w:szCs w:val="24"/>
        </w:rPr>
      </w:pPr>
      <w:r w:rsidRPr="001770E8">
        <w:rPr>
          <w:sz w:val="24"/>
          <w:szCs w:val="24"/>
        </w:rPr>
        <w:t xml:space="preserve">Essa realidade encontra respaldo na discussão proposta por </w:t>
      </w:r>
      <w:proofErr w:type="spellStart"/>
      <w:r w:rsidRPr="001770E8">
        <w:rPr>
          <w:sz w:val="24"/>
          <w:szCs w:val="24"/>
        </w:rPr>
        <w:t>Paulilo</w:t>
      </w:r>
      <w:proofErr w:type="spellEnd"/>
      <w:r w:rsidRPr="001770E8">
        <w:rPr>
          <w:sz w:val="24"/>
          <w:szCs w:val="24"/>
        </w:rPr>
        <w:t xml:space="preserve"> (2004), ao demonstrar que o trabalho da mulher na agricultura familiar é classificado como "ajuda". Essa nomeação produz efeitos concretos, pois desconsidera o caráter produtivo de atividades desempenhadas pelas mulheres em todas as etapas da produção agrícola – do plantio à colheita, do beneficiamento à comercialização. Isso contribui com a naturalização da divisão sexual do trabalho e para o ocultamento de seu protagonismo econômico e social. </w:t>
      </w:r>
    </w:p>
    <w:p w14:paraId="1F42B79B" w14:textId="77777777" w:rsidR="00525F7E" w:rsidRPr="001770E8" w:rsidRDefault="00525F7E" w:rsidP="00525F7E">
      <w:pPr>
        <w:spacing w:line="360" w:lineRule="auto"/>
        <w:jc w:val="both"/>
        <w:rPr>
          <w:sz w:val="24"/>
          <w:szCs w:val="24"/>
        </w:rPr>
      </w:pPr>
      <w:r w:rsidRPr="001770E8">
        <w:rPr>
          <w:sz w:val="24"/>
          <w:szCs w:val="24"/>
        </w:rPr>
        <w:t xml:space="preserve">Ao ampliar esse debate, Butler (2019) nos ajuda a compreender que o corpo é território político. No campo, os corpos das mulheres carregam as marcas do trabalho </w:t>
      </w:r>
      <w:r w:rsidRPr="001770E8">
        <w:rPr>
          <w:sz w:val="24"/>
          <w:szCs w:val="24"/>
        </w:rPr>
        <w:lastRenderedPageBreak/>
        <w:t xml:space="preserve">produtivo, do cuidado e da sobrecarga cotidiana, evidenciando que aluta pelo reconhecimento passa também pela autonomia sobre o tempo, o trabalho e as formas de participação social. </w:t>
      </w:r>
    </w:p>
    <w:p w14:paraId="5D8A6AF5" w14:textId="77777777" w:rsidR="00525F7E" w:rsidRPr="001770E8" w:rsidRDefault="00525F7E" w:rsidP="00525F7E">
      <w:pPr>
        <w:spacing w:line="360" w:lineRule="auto"/>
        <w:jc w:val="both"/>
        <w:rPr>
          <w:sz w:val="24"/>
          <w:szCs w:val="24"/>
        </w:rPr>
      </w:pPr>
      <w:r w:rsidRPr="001770E8">
        <w:rPr>
          <w:sz w:val="24"/>
          <w:szCs w:val="24"/>
        </w:rPr>
        <w:t xml:space="preserve">Foi justamente essas categorias analíticas que estão nos ajudando a refletir sobre as experiências vivenciadas até o momento no projeto de extensão, nos permitindo identificar alguns elementos recorrentes nas narrativas das participantes. </w:t>
      </w:r>
    </w:p>
    <w:p w14:paraId="223614F1" w14:textId="77777777" w:rsidR="00525F7E" w:rsidRPr="001770E8" w:rsidRDefault="00525F7E" w:rsidP="00525F7E">
      <w:pPr>
        <w:spacing w:line="360" w:lineRule="auto"/>
        <w:jc w:val="both"/>
        <w:rPr>
          <w:sz w:val="24"/>
          <w:szCs w:val="24"/>
        </w:rPr>
      </w:pPr>
      <w:r w:rsidRPr="001770E8">
        <w:rPr>
          <w:sz w:val="24"/>
          <w:szCs w:val="24"/>
        </w:rPr>
        <w:t>O primeiro deles refere-se à invisibilização do trabalho feminino por meio de sua nomeação como "ajuda". Apesar de estarem presentes em todas as etapas da produção agrícola, no cuidado com a casa e com a família, o trabalho das mulheres é socialmente reconhecido como "ajuda", ou seja, continua sendo compreendido como complementar ao dos homens. Essa nomeação apaga a centralidade delas na agricultura e na economia familiar, reforçando relações historicamente marcadas pela desigualdade de gênero.</w:t>
      </w:r>
    </w:p>
    <w:p w14:paraId="0FCE3686" w14:textId="77777777" w:rsidR="00525F7E" w:rsidRPr="001770E8" w:rsidRDefault="00525F7E" w:rsidP="00525F7E">
      <w:pPr>
        <w:spacing w:line="360" w:lineRule="auto"/>
        <w:jc w:val="both"/>
        <w:rPr>
          <w:sz w:val="24"/>
          <w:szCs w:val="24"/>
        </w:rPr>
      </w:pPr>
      <w:r w:rsidRPr="001770E8">
        <w:rPr>
          <w:sz w:val="24"/>
          <w:szCs w:val="24"/>
        </w:rPr>
        <w:t>Outro aspecto evidenciado diz respeito aos saberes e às práticas de cuidado desenvolvidos pelas mulheres, especialmente aqueles relacionados às plantas medicinais, à alimentação, à preservação de sementes e ao cuidado com a saúde da família e da comunidade. As oficinas possibilitaram reconhecer que esses conhecimentos, transmitidos entre gerações e fundamentais para a reprodução da vida no território, permanecem frequentemente associados ao espaço doméstico e, por isso, são pouco valorizados como formas legítimas de trabalho e produção de conhecimento.</w:t>
      </w:r>
    </w:p>
    <w:p w14:paraId="750E6567" w14:textId="77777777" w:rsidR="00525F7E" w:rsidRPr="001770E8" w:rsidRDefault="00525F7E" w:rsidP="00525F7E">
      <w:pPr>
        <w:spacing w:line="360" w:lineRule="auto"/>
        <w:jc w:val="both"/>
        <w:rPr>
          <w:sz w:val="24"/>
          <w:szCs w:val="24"/>
        </w:rPr>
      </w:pPr>
      <w:r w:rsidRPr="001770E8">
        <w:rPr>
          <w:sz w:val="24"/>
          <w:szCs w:val="24"/>
        </w:rPr>
        <w:t>As atividades também permitiram identificar elementos relacionados ao fortalecimento do protagonismo feminino. Embora mulheres de diferentes faixas etárias tenham sido convidadas a participar do projeto, observou-se maior adesão entre participantes com idade superior a 55 anos. Esse dado revela que justamente mulheres cujas trajetórias foram profundamente marcadas por relações patriarcais encontraram no projeto um espaço de escuta, diálogo e reconhecimento. Ao compartilharem suas histórias e refletirem coletivamente sobre suas experiências, passaram a reconhecer seus próprios percursos como constitutivos da história do assentamento, fortalecendo processos de autonomia, pertencimento e organização coletiva.</w:t>
      </w:r>
    </w:p>
    <w:p w14:paraId="44551F7F" w14:textId="77777777" w:rsidR="00525F7E" w:rsidRPr="001770E8" w:rsidRDefault="00525F7E" w:rsidP="00525F7E">
      <w:pPr>
        <w:spacing w:line="360" w:lineRule="auto"/>
        <w:jc w:val="both"/>
        <w:rPr>
          <w:sz w:val="24"/>
          <w:szCs w:val="24"/>
        </w:rPr>
      </w:pPr>
      <w:r w:rsidRPr="001770E8">
        <w:rPr>
          <w:sz w:val="24"/>
          <w:szCs w:val="24"/>
        </w:rPr>
        <w:lastRenderedPageBreak/>
        <w:t>Nesse sentido, podemos afirmar que as ações extensionistas vem ultrapassando a mera realização de oficinas temáticas e vem consolidando-se como uma prática educativa comprometida com o reconhecimento dos saberes produzidos pelas próprias mulheres, reafirmando que reconhecê-las é, antes de tudo, um ato político e pedagógico. Nomear como trabalho aquilo que historicamente foi tratado como "ajuda" é conferir centralidade àquelas que sustentam a vida, a produção e a organização do território. compreendendo que não há projeto de futuro para os territórios rurais sem o protagonismo, os saberes e as trajetórias das mulheres camponesas.</w:t>
      </w:r>
    </w:p>
    <w:p w14:paraId="31683331" w14:textId="77777777" w:rsidR="00E1076E" w:rsidRDefault="00E1076E">
      <w:pPr>
        <w:keepLines/>
        <w:widowControl w:val="0"/>
        <w:spacing w:line="360" w:lineRule="auto"/>
        <w:jc w:val="both"/>
        <w:rPr>
          <w:sz w:val="24"/>
          <w:szCs w:val="24"/>
        </w:rPr>
      </w:pPr>
    </w:p>
    <w:p w14:paraId="0580B426" w14:textId="77777777" w:rsidR="00E1076E" w:rsidRDefault="009C6286">
      <w:pPr>
        <w:keepLines/>
        <w:widowControl w:val="0"/>
        <w:spacing w:line="360" w:lineRule="auto"/>
        <w:jc w:val="both"/>
        <w:rPr>
          <w:b/>
          <w:bCs/>
          <w:sz w:val="24"/>
          <w:szCs w:val="24"/>
        </w:rPr>
      </w:pPr>
      <w:r>
        <w:rPr>
          <w:b/>
          <w:bCs/>
          <w:sz w:val="24"/>
          <w:szCs w:val="24"/>
        </w:rPr>
        <w:t>PALAVRAS-CHAVE</w:t>
      </w:r>
    </w:p>
    <w:p w14:paraId="4E11C833" w14:textId="3EB00E15" w:rsidR="00E1076E" w:rsidRDefault="00085927">
      <w:pPr>
        <w:keepLines/>
        <w:widowControl w:val="0"/>
        <w:spacing w:line="240" w:lineRule="auto"/>
        <w:rPr>
          <w:sz w:val="24"/>
          <w:szCs w:val="24"/>
        </w:rPr>
      </w:pPr>
      <w:r w:rsidRPr="00CE03D4">
        <w:t xml:space="preserve">Mulheres Camponesas. </w:t>
      </w:r>
      <w:r w:rsidRPr="00CE03D4">
        <w:t xml:space="preserve">Educação do Campo. </w:t>
      </w:r>
      <w:r w:rsidRPr="00CE03D4">
        <w:t>Divisão Sexual do Trabalho.</w:t>
      </w:r>
      <w:r w:rsidRPr="00CE03D4">
        <w:t xml:space="preserve">   Protagonismo Feminino. Extensão Universitária.  </w:t>
      </w:r>
    </w:p>
    <w:p w14:paraId="1B3A2AA4" w14:textId="77777777" w:rsidR="00E1076E" w:rsidRDefault="00E1076E">
      <w:pPr>
        <w:keepLines/>
        <w:widowControl w:val="0"/>
        <w:spacing w:line="240" w:lineRule="auto"/>
        <w:rPr>
          <w:b/>
          <w:bCs/>
          <w:sz w:val="24"/>
          <w:szCs w:val="24"/>
        </w:rPr>
      </w:pPr>
    </w:p>
    <w:p w14:paraId="21828E73" w14:textId="77777777" w:rsidR="00E1076E" w:rsidRDefault="009C6286">
      <w:pPr>
        <w:keepLines/>
        <w:widowControl w:val="0"/>
        <w:spacing w:line="240" w:lineRule="auto"/>
        <w:rPr>
          <w:sz w:val="24"/>
          <w:szCs w:val="24"/>
        </w:rPr>
      </w:pPr>
      <w:r>
        <w:rPr>
          <w:b/>
          <w:bCs/>
          <w:sz w:val="24"/>
          <w:szCs w:val="24"/>
        </w:rPr>
        <w:t>REFERÊNCIAS</w:t>
      </w:r>
      <w:r>
        <w:rPr>
          <w:sz w:val="24"/>
          <w:szCs w:val="24"/>
        </w:rPr>
        <w:t xml:space="preserve"> </w:t>
      </w:r>
    </w:p>
    <w:p w14:paraId="6A07CF9D" w14:textId="77777777" w:rsidR="004E6E6E" w:rsidRDefault="004E6E6E" w:rsidP="004E6E6E">
      <w:pPr>
        <w:spacing w:line="360" w:lineRule="auto"/>
        <w:rPr>
          <w:sz w:val="24"/>
          <w:szCs w:val="24"/>
        </w:rPr>
      </w:pPr>
    </w:p>
    <w:p w14:paraId="063ADC43" w14:textId="0BDAF579" w:rsidR="004E6E6E" w:rsidRPr="001770E8" w:rsidRDefault="004E6E6E" w:rsidP="00815C52">
      <w:pPr>
        <w:spacing w:after="240" w:line="240" w:lineRule="auto"/>
        <w:rPr>
          <w:sz w:val="24"/>
          <w:szCs w:val="24"/>
        </w:rPr>
      </w:pPr>
      <w:r w:rsidRPr="001770E8">
        <w:rPr>
          <w:sz w:val="24"/>
          <w:szCs w:val="24"/>
        </w:rPr>
        <w:t xml:space="preserve">BUTLER, Judith. </w:t>
      </w:r>
      <w:r w:rsidRPr="005265F5">
        <w:rPr>
          <w:b/>
          <w:bCs/>
          <w:sz w:val="24"/>
          <w:szCs w:val="24"/>
        </w:rPr>
        <w:t>Corpos que importam</w:t>
      </w:r>
      <w:r w:rsidRPr="001770E8">
        <w:rPr>
          <w:sz w:val="24"/>
          <w:szCs w:val="24"/>
        </w:rPr>
        <w:t>: os limites discursivos do "sexo". São Paulo: n-1 edições, 2019.</w:t>
      </w:r>
    </w:p>
    <w:p w14:paraId="4F75C4B8" w14:textId="77777777" w:rsidR="004E6E6E" w:rsidRPr="001770E8" w:rsidRDefault="004E6E6E" w:rsidP="00815C52">
      <w:pPr>
        <w:spacing w:after="240" w:line="240" w:lineRule="auto"/>
        <w:rPr>
          <w:sz w:val="24"/>
          <w:szCs w:val="24"/>
        </w:rPr>
      </w:pPr>
      <w:r w:rsidRPr="001770E8">
        <w:rPr>
          <w:sz w:val="24"/>
          <w:szCs w:val="24"/>
        </w:rPr>
        <w:t xml:space="preserve">FERNANDES, Bernardo </w:t>
      </w:r>
      <w:proofErr w:type="spellStart"/>
      <w:r w:rsidRPr="001770E8">
        <w:rPr>
          <w:sz w:val="24"/>
          <w:szCs w:val="24"/>
        </w:rPr>
        <w:t>Mançano</w:t>
      </w:r>
      <w:proofErr w:type="spellEnd"/>
      <w:r w:rsidRPr="001770E8">
        <w:rPr>
          <w:sz w:val="24"/>
          <w:szCs w:val="24"/>
        </w:rPr>
        <w:t xml:space="preserve">. </w:t>
      </w:r>
      <w:r w:rsidRPr="005265F5">
        <w:rPr>
          <w:b/>
          <w:bCs/>
          <w:sz w:val="24"/>
          <w:szCs w:val="24"/>
        </w:rPr>
        <w:t>Sobre a tipologia dos territórios</w:t>
      </w:r>
      <w:r w:rsidRPr="001770E8">
        <w:rPr>
          <w:sz w:val="24"/>
          <w:szCs w:val="24"/>
        </w:rPr>
        <w:t>. In: SAQUET, Marcos Aurelio; SPOSITO, Eliseu Savério. Territórios e territorialidades: teorias, processos e conflitos. São Paulo: Expressão Popular, 2009.</w:t>
      </w:r>
    </w:p>
    <w:p w14:paraId="08B03AC5" w14:textId="77777777" w:rsidR="004E6E6E" w:rsidRPr="001770E8" w:rsidRDefault="004E6E6E" w:rsidP="00815C52">
      <w:pPr>
        <w:spacing w:after="240" w:line="240" w:lineRule="auto"/>
        <w:rPr>
          <w:sz w:val="24"/>
          <w:szCs w:val="24"/>
        </w:rPr>
      </w:pPr>
      <w:r w:rsidRPr="001770E8">
        <w:rPr>
          <w:sz w:val="24"/>
          <w:szCs w:val="24"/>
        </w:rPr>
        <w:t xml:space="preserve">PAULILO, Maria Ignez Silveira. </w:t>
      </w:r>
      <w:r w:rsidRPr="006C205C">
        <w:rPr>
          <w:b/>
          <w:bCs/>
          <w:sz w:val="24"/>
          <w:szCs w:val="24"/>
        </w:rPr>
        <w:t>Trabalho familiar</w:t>
      </w:r>
      <w:r w:rsidRPr="001770E8">
        <w:rPr>
          <w:sz w:val="24"/>
          <w:szCs w:val="24"/>
        </w:rPr>
        <w:t>: uma categoria esquecida de análise. Estudos Feministas, Florianópolis, v.12, n.1, 2004.</w:t>
      </w:r>
    </w:p>
    <w:p w14:paraId="289FA673" w14:textId="33EF8129" w:rsidR="00E1076E" w:rsidRDefault="00E1076E">
      <w:pPr>
        <w:keepLines/>
        <w:widowControl w:val="0"/>
        <w:spacing w:line="240" w:lineRule="auto"/>
        <w:rPr>
          <w:b/>
          <w:bCs/>
          <w:sz w:val="24"/>
          <w:szCs w:val="24"/>
        </w:rPr>
      </w:pPr>
    </w:p>
    <w:p w14:paraId="0FC146FF" w14:textId="77777777" w:rsidR="00E1076E" w:rsidRDefault="00E1076E"/>
    <w:p w14:paraId="04CD677A" w14:textId="77777777" w:rsidR="00E1076E" w:rsidRDefault="00E1076E">
      <w:pPr>
        <w:spacing w:after="200" w:line="240" w:lineRule="auto"/>
        <w:jc w:val="both"/>
        <w:rPr>
          <w:b/>
          <w:bCs/>
          <w:sz w:val="24"/>
          <w:szCs w:val="24"/>
        </w:rPr>
      </w:pPr>
    </w:p>
    <w:sectPr w:rsidR="00E1076E">
      <w:headerReference w:type="default" r:id="rId8"/>
      <w:footerReference w:type="default" r:id="rId9"/>
      <w:headerReference w:type="first" r:id="rId10"/>
      <w:footerReference w:type="firs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EE9A" w14:textId="77777777" w:rsidR="005E549B" w:rsidRDefault="005E549B">
      <w:pPr>
        <w:spacing w:line="240" w:lineRule="auto"/>
      </w:pPr>
      <w:r>
        <w:separator/>
      </w:r>
    </w:p>
  </w:endnote>
  <w:endnote w:type="continuationSeparator" w:id="0">
    <w:p w14:paraId="04C5EB01" w14:textId="77777777" w:rsidR="005E549B" w:rsidRDefault="005E54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27A7B1-E225-4679-9C82-9318813F35A4}"/>
  </w:font>
  <w:font w:name="Cambria">
    <w:panose1 w:val="02040503050406030204"/>
    <w:charset w:val="00"/>
    <w:family w:val="roman"/>
    <w:pitch w:val="variable"/>
    <w:sig w:usb0="E00006FF" w:usb1="420024FF" w:usb2="02000000" w:usb3="00000000" w:csb0="0000019F" w:csb1="00000000"/>
    <w:embedRegular r:id="rId2" w:fontKey="{D73601B2-A4B2-473A-8BFA-41B6AF3692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DA459" w14:textId="77777777" w:rsidR="00E1076E" w:rsidRDefault="009C6286">
    <w:pPr>
      <w:jc w:val="center"/>
    </w:pPr>
    <w:r>
      <w:fldChar w:fldCharType="begin"/>
    </w:r>
    <w:r>
      <w:instrText>PAGE</w:instrText>
    </w:r>
    <w:r>
      <w:fldChar w:fldCharType="separate"/>
    </w:r>
    <w:r w:rsidR="0001211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3D62" w14:textId="77777777" w:rsidR="00E1076E" w:rsidRDefault="00E107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DFC79" w14:textId="77777777" w:rsidR="005E549B" w:rsidRDefault="005E549B">
      <w:pPr>
        <w:spacing w:line="240" w:lineRule="auto"/>
      </w:pPr>
      <w:r>
        <w:separator/>
      </w:r>
    </w:p>
  </w:footnote>
  <w:footnote w:type="continuationSeparator" w:id="0">
    <w:p w14:paraId="7EAEA7A0" w14:textId="77777777" w:rsidR="005E549B" w:rsidRDefault="005E549B">
      <w:pPr>
        <w:spacing w:line="240" w:lineRule="auto"/>
      </w:pPr>
      <w:r>
        <w:continuationSeparator/>
      </w:r>
    </w:p>
  </w:footnote>
  <w:footnote w:id="1">
    <w:p w14:paraId="5CE57D9F" w14:textId="0B7A8A33" w:rsidR="00C36BD3" w:rsidRDefault="00C36BD3">
      <w:pPr>
        <w:pStyle w:val="Textodenotaderodap"/>
      </w:pPr>
      <w:r>
        <w:rPr>
          <w:rStyle w:val="Refdenotaderodap"/>
        </w:rPr>
        <w:footnoteRef/>
      </w:r>
      <w:r>
        <w:t xml:space="preserve"> Universidade Federal do Triângulo Mineiro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F85C1" w14:textId="77777777" w:rsidR="00E1076E" w:rsidRDefault="009C6286">
    <w:pPr>
      <w:jc w:val="right"/>
    </w:pPr>
    <w:r>
      <w:rPr>
        <w:noProof/>
      </w:rPr>
      <w:drawing>
        <wp:anchor distT="114300" distB="114300" distL="114300" distR="114300" simplePos="0" relativeHeight="251658240" behindDoc="1" locked="0" layoutInCell="1" hidden="0" allowOverlap="1" wp14:anchorId="252615D3" wp14:editId="411FFD52">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345F913" wp14:editId="2E710FEA">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3A5AFEAD" w14:textId="77777777" w:rsidR="00E1076E" w:rsidRDefault="00E1076E">
    <w:pPr>
      <w:jc w:val="right"/>
    </w:pPr>
  </w:p>
  <w:p w14:paraId="4FE90A37" w14:textId="77777777" w:rsidR="00E1076E" w:rsidRDefault="00E1076E">
    <w:pPr>
      <w:jc w:val="right"/>
    </w:pPr>
  </w:p>
  <w:p w14:paraId="3A39B1E1" w14:textId="77777777" w:rsidR="00E1076E" w:rsidRDefault="009C6286">
    <w:r>
      <w:rPr>
        <w:noProof/>
      </w:rPr>
      <w:drawing>
        <wp:anchor distT="114300" distB="114300" distL="114300" distR="114300" simplePos="0" relativeHeight="251660288" behindDoc="1" locked="0" layoutInCell="1" hidden="0" allowOverlap="1" wp14:anchorId="427C5ED3" wp14:editId="384E94D4">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F5407" w14:textId="77777777" w:rsidR="00E1076E" w:rsidRDefault="00E107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074F9"/>
    <w:multiLevelType w:val="hybridMultilevel"/>
    <w:tmpl w:val="77402D46"/>
    <w:lvl w:ilvl="0" w:tplc="3DBCE79C">
      <w:start w:val="1"/>
      <w:numFmt w:val="bullet"/>
      <w:lvlText w:val=""/>
      <w:lvlJc w:val="left"/>
      <w:pPr>
        <w:ind w:left="1080" w:hanging="360"/>
      </w:pPr>
      <w:rPr>
        <w:rFonts w:ascii="Symbol" w:hAnsi="Symbol"/>
      </w:rPr>
    </w:lvl>
    <w:lvl w:ilvl="1" w:tplc="FC20FC04">
      <w:start w:val="1"/>
      <w:numFmt w:val="bullet"/>
      <w:lvlText w:val=""/>
      <w:lvlJc w:val="left"/>
      <w:pPr>
        <w:ind w:left="1080" w:hanging="360"/>
      </w:pPr>
      <w:rPr>
        <w:rFonts w:ascii="Symbol" w:hAnsi="Symbol"/>
      </w:rPr>
    </w:lvl>
    <w:lvl w:ilvl="2" w:tplc="CA62A724">
      <w:start w:val="1"/>
      <w:numFmt w:val="bullet"/>
      <w:lvlText w:val=""/>
      <w:lvlJc w:val="left"/>
      <w:pPr>
        <w:ind w:left="1080" w:hanging="360"/>
      </w:pPr>
      <w:rPr>
        <w:rFonts w:ascii="Symbol" w:hAnsi="Symbol"/>
      </w:rPr>
    </w:lvl>
    <w:lvl w:ilvl="3" w:tplc="92A2DDF4">
      <w:start w:val="1"/>
      <w:numFmt w:val="bullet"/>
      <w:lvlText w:val=""/>
      <w:lvlJc w:val="left"/>
      <w:pPr>
        <w:ind w:left="1080" w:hanging="360"/>
      </w:pPr>
      <w:rPr>
        <w:rFonts w:ascii="Symbol" w:hAnsi="Symbol"/>
      </w:rPr>
    </w:lvl>
    <w:lvl w:ilvl="4" w:tplc="916E997C">
      <w:start w:val="1"/>
      <w:numFmt w:val="bullet"/>
      <w:lvlText w:val=""/>
      <w:lvlJc w:val="left"/>
      <w:pPr>
        <w:ind w:left="1080" w:hanging="360"/>
      </w:pPr>
      <w:rPr>
        <w:rFonts w:ascii="Symbol" w:hAnsi="Symbol"/>
      </w:rPr>
    </w:lvl>
    <w:lvl w:ilvl="5" w:tplc="B878609E">
      <w:start w:val="1"/>
      <w:numFmt w:val="bullet"/>
      <w:lvlText w:val=""/>
      <w:lvlJc w:val="left"/>
      <w:pPr>
        <w:ind w:left="1080" w:hanging="360"/>
      </w:pPr>
      <w:rPr>
        <w:rFonts w:ascii="Symbol" w:hAnsi="Symbol"/>
      </w:rPr>
    </w:lvl>
    <w:lvl w:ilvl="6" w:tplc="E2989CC2">
      <w:start w:val="1"/>
      <w:numFmt w:val="bullet"/>
      <w:lvlText w:val=""/>
      <w:lvlJc w:val="left"/>
      <w:pPr>
        <w:ind w:left="1080" w:hanging="360"/>
      </w:pPr>
      <w:rPr>
        <w:rFonts w:ascii="Symbol" w:hAnsi="Symbol"/>
      </w:rPr>
    </w:lvl>
    <w:lvl w:ilvl="7" w:tplc="4330FF56">
      <w:start w:val="1"/>
      <w:numFmt w:val="bullet"/>
      <w:lvlText w:val=""/>
      <w:lvlJc w:val="left"/>
      <w:pPr>
        <w:ind w:left="1080" w:hanging="360"/>
      </w:pPr>
      <w:rPr>
        <w:rFonts w:ascii="Symbol" w:hAnsi="Symbol"/>
      </w:rPr>
    </w:lvl>
    <w:lvl w:ilvl="8" w:tplc="3E047570">
      <w:start w:val="1"/>
      <w:numFmt w:val="bullet"/>
      <w:lvlText w:val=""/>
      <w:lvlJc w:val="left"/>
      <w:pPr>
        <w:ind w:left="1080" w:hanging="360"/>
      </w:pPr>
      <w:rPr>
        <w:rFonts w:ascii="Symbol" w:hAnsi="Symbol"/>
      </w:rPr>
    </w:lvl>
  </w:abstractNum>
  <w:num w:numId="1" w16cid:durableId="1764111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76E"/>
    <w:rsid w:val="00012110"/>
    <w:rsid w:val="00066823"/>
    <w:rsid w:val="00085927"/>
    <w:rsid w:val="00085F65"/>
    <w:rsid w:val="001F3652"/>
    <w:rsid w:val="001F4623"/>
    <w:rsid w:val="00246B8C"/>
    <w:rsid w:val="003B5039"/>
    <w:rsid w:val="003F60F7"/>
    <w:rsid w:val="00472D26"/>
    <w:rsid w:val="004E6E6E"/>
    <w:rsid w:val="00525F7E"/>
    <w:rsid w:val="005265F5"/>
    <w:rsid w:val="005E1EF5"/>
    <w:rsid w:val="005E549B"/>
    <w:rsid w:val="00602FFE"/>
    <w:rsid w:val="00642967"/>
    <w:rsid w:val="006C205C"/>
    <w:rsid w:val="00713626"/>
    <w:rsid w:val="007F20DC"/>
    <w:rsid w:val="00815C52"/>
    <w:rsid w:val="00921F66"/>
    <w:rsid w:val="009C6286"/>
    <w:rsid w:val="00AE6F9C"/>
    <w:rsid w:val="00B93F0F"/>
    <w:rsid w:val="00C36BD3"/>
    <w:rsid w:val="00E04CFA"/>
    <w:rsid w:val="00E1076E"/>
    <w:rsid w:val="00E840FB"/>
    <w:rsid w:val="00EE543D"/>
    <w:rsid w:val="00FB142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8A7E9"/>
  <w15:docId w15:val="{1D296EC6-A574-4FC0-B18C-7B1E2AFF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o">
    <w:name w:val="Revision"/>
    <w:hidden/>
    <w:uiPriority w:val="99"/>
    <w:semiHidden/>
    <w:rsid w:val="00012110"/>
    <w:pPr>
      <w:spacing w:line="240" w:lineRule="auto"/>
    </w:pPr>
  </w:style>
  <w:style w:type="character" w:styleId="Refdecomentrio">
    <w:name w:val="annotation reference"/>
    <w:basedOn w:val="Fontepargpadro"/>
    <w:uiPriority w:val="99"/>
    <w:semiHidden/>
    <w:unhideWhenUsed/>
    <w:rsid w:val="00012110"/>
    <w:rPr>
      <w:sz w:val="16"/>
      <w:szCs w:val="16"/>
    </w:rPr>
  </w:style>
  <w:style w:type="paragraph" w:styleId="Textodecomentrio">
    <w:name w:val="annotation text"/>
    <w:basedOn w:val="Normal"/>
    <w:link w:val="TextodecomentrioChar"/>
    <w:uiPriority w:val="99"/>
    <w:unhideWhenUsed/>
    <w:rsid w:val="00012110"/>
    <w:pPr>
      <w:spacing w:line="240" w:lineRule="auto"/>
    </w:pPr>
    <w:rPr>
      <w:sz w:val="20"/>
      <w:szCs w:val="20"/>
    </w:rPr>
  </w:style>
  <w:style w:type="character" w:customStyle="1" w:styleId="TextodecomentrioChar">
    <w:name w:val="Texto de comentário Char"/>
    <w:basedOn w:val="Fontepargpadro"/>
    <w:link w:val="Textodecomentrio"/>
    <w:uiPriority w:val="99"/>
    <w:rsid w:val="00012110"/>
    <w:rPr>
      <w:sz w:val="20"/>
      <w:szCs w:val="20"/>
    </w:rPr>
  </w:style>
  <w:style w:type="paragraph" w:styleId="Assuntodocomentrio">
    <w:name w:val="annotation subject"/>
    <w:basedOn w:val="Textodecomentrio"/>
    <w:next w:val="Textodecomentrio"/>
    <w:link w:val="AssuntodocomentrioChar"/>
    <w:uiPriority w:val="99"/>
    <w:semiHidden/>
    <w:unhideWhenUsed/>
    <w:rsid w:val="00012110"/>
    <w:rPr>
      <w:b/>
      <w:bCs/>
    </w:rPr>
  </w:style>
  <w:style w:type="character" w:customStyle="1" w:styleId="AssuntodocomentrioChar">
    <w:name w:val="Assunto do comentário Char"/>
    <w:basedOn w:val="TextodecomentrioChar"/>
    <w:link w:val="Assuntodocomentrio"/>
    <w:uiPriority w:val="99"/>
    <w:semiHidden/>
    <w:rsid w:val="00012110"/>
    <w:rPr>
      <w:b/>
      <w:bCs/>
      <w:sz w:val="20"/>
      <w:szCs w:val="20"/>
    </w:rPr>
  </w:style>
  <w:style w:type="paragraph" w:styleId="Textodenotaderodap">
    <w:name w:val="footnote text"/>
    <w:basedOn w:val="Normal"/>
    <w:link w:val="TextodenotaderodapChar"/>
    <w:uiPriority w:val="99"/>
    <w:semiHidden/>
    <w:unhideWhenUsed/>
    <w:rsid w:val="00C36BD3"/>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C36BD3"/>
    <w:rPr>
      <w:sz w:val="20"/>
      <w:szCs w:val="20"/>
    </w:rPr>
  </w:style>
  <w:style w:type="character" w:styleId="Refdenotaderodap">
    <w:name w:val="footnote reference"/>
    <w:basedOn w:val="Fontepargpadro"/>
    <w:uiPriority w:val="99"/>
    <w:semiHidden/>
    <w:unhideWhenUsed/>
    <w:rsid w:val="00C36BD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0764C9-0B4E-44BB-BB81-6EFEE6C3E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4</Pages>
  <Words>1237</Words>
  <Characters>6685</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Tânia Halley</dc:creator>
  <cp:lastModifiedBy>Tânia Halley</cp:lastModifiedBy>
  <cp:revision>23</cp:revision>
  <cp:lastPrinted>2026-07-29T21:29:00Z</cp:lastPrinted>
  <dcterms:created xsi:type="dcterms:W3CDTF">2026-07-29T21:39:00Z</dcterms:created>
  <dcterms:modified xsi:type="dcterms:W3CDTF">2026-07-30T00:23:00Z</dcterms:modified>
</cp:coreProperties>
</file>