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Lines w:val="true"/>
        <w:widowControl w:val="false"/>
        <w:pBdr/>
        <w:spacing w:line="240" w:lineRule="auto"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SESSÃO NARRATIVAS MULTIMODAIS DE EXPERIÊNCIAS</w:t>
      </w:r>
      <w:r>
        <w:rPr>
          <w:b/>
          <w:bCs/>
          <w:sz w:val="24"/>
          <w:szCs w:val="24"/>
        </w:rPr>
      </w:r>
    </w:p>
    <w:p w14:paraId="69676E91">
      <w:pPr>
        <w:keepLines w:val="true"/>
        <w:widowControl w:val="false"/>
        <w:pBdr/>
        <w:spacing w:line="240" w:lineRule="auto"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3">
      <w:pPr>
        <w:keepLines w:val="true"/>
        <w:widowControl w:val="false"/>
        <w:pBdr/>
        <w:spacing w:line="240" w:lineRule="auto"/>
        <w:ind/>
        <w:jc w:val="center"/>
        <w:rPr>
          <w:b/>
          <w:bCs/>
          <w:sz w:val="24"/>
          <w:szCs w:val="24"/>
        </w:rPr>
      </w:pPr>
      <w:r>
        <w:rPr>
          <w:rtl w:val="0"/>
        </w:rPr>
      </w:r>
      <w:r>
        <w:rPr>
          <w:b/>
          <w:bCs/>
          <w:sz w:val="24"/>
          <w:szCs w:val="24"/>
        </w:rPr>
      </w:r>
    </w:p>
    <w:p w14:paraId="00000004">
      <w:pPr>
        <w:keepLines w:val="true"/>
        <w:widowControl w:val="false"/>
        <w:pBdr/>
        <w:spacing w:line="240" w:lineRule="auto"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</w:r>
      <w:r>
        <w:rPr>
          <w:b/>
          <w:bCs/>
          <w:sz w:val="24"/>
          <w:szCs w:val="24"/>
          <w:rtl w:val="0"/>
        </w:rPr>
        <w:t xml:space="preserve"> DAS PALAFITAS ÀS BAIXADAS: ENTRE RIOS, MARGENS E RETROCESSOS HUMANITÁRIOS </w:t>
      </w:r>
      <w:r>
        <w:rPr>
          <w:b/>
          <w:bCs/>
          <w:sz w:val="24"/>
          <w:szCs w:val="24"/>
          <w:rtl w:val="0"/>
        </w:rPr>
      </w:r>
      <w:r>
        <w:rPr>
          <w:b/>
          <w:bCs/>
          <w:sz w:val="24"/>
          <w:szCs w:val="24"/>
        </w:rPr>
      </w:r>
    </w:p>
    <w:p w14:paraId="00000006">
      <w:pPr>
        <w:keepLines w:val="true"/>
        <w:widowControl w:val="false"/>
        <w:pBdr/>
        <w:spacing w:line="240" w:lineRule="auto"/>
        <w:ind/>
        <w:jc w:val="both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p w14:paraId="635B2104">
      <w:pPr>
        <w:keepLines w:val="true"/>
        <w:widowControl w:val="false"/>
        <w:pBdr/>
        <w:spacing w:line="240" w:lineRule="auto"/>
        <w:ind/>
        <w:jc w:val="right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Brenno Brandalise Demarchi</w:t>
      </w:r>
      <w:r>
        <w:rPr>
          <w:highlight w:val="none"/>
          <w:rtl w:val="0"/>
        </w:rPr>
      </w:r>
    </w:p>
    <w:p w14:paraId="750B5343">
      <w:pPr>
        <w:keepLines w:val="true"/>
        <w:widowControl w:val="false"/>
        <w:pBdr/>
        <w:spacing w:line="240" w:lineRule="auto"/>
        <w:ind/>
        <w:jc w:val="right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Universidade Federal de Santa Catarina (UFSC)</w:t>
      </w:r>
      <w:r>
        <w:rPr>
          <w:highlight w:val="none"/>
        </w:rPr>
      </w:r>
    </w:p>
    <w:p w14:paraId="2BF56535">
      <w:pPr>
        <w:keepLines w:val="true"/>
        <w:widowControl w:val="false"/>
        <w:pBdr/>
        <w:spacing w:line="240" w:lineRule="auto"/>
        <w:ind/>
        <w:jc w:val="right"/>
        <w:rPr>
          <w:highlight w:val="none"/>
        </w:rPr>
      </w:pPr>
      <w:r>
        <w:rPr>
          <w:sz w:val="24"/>
          <w:szCs w:val="24"/>
          <w:rtl w:val="0"/>
        </w:rPr>
        <w:t xml:space="preserve">brennodemarchi@gmail.com</w:t>
      </w:r>
      <w:r/>
      <w:r/>
    </w:p>
    <w:p w14:paraId="4EE49914">
      <w:pPr>
        <w:keepLines w:val="true"/>
        <w:widowControl w:val="false"/>
        <w:pBdr/>
        <w:spacing w:line="240" w:lineRule="auto"/>
        <w:ind/>
        <w:jc w:val="right"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00000A">
      <w:pPr>
        <w:keepLines w:val="true"/>
        <w:widowControl w:val="false"/>
        <w:pBdr/>
        <w:spacing w:line="240" w:lineRule="auto"/>
        <w:ind/>
        <w:jc w:val="right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Wesley Vaz Oliveira </w:t>
      </w:r>
      <w:r>
        <w:rPr>
          <w:sz w:val="24"/>
          <w:szCs w:val="24"/>
        </w:rPr>
      </w:r>
    </w:p>
    <w:p w14:paraId="768CFDDF">
      <w:pPr>
        <w:keepLines w:val="true"/>
        <w:widowControl w:val="false"/>
        <w:pBdr/>
        <w:spacing w:line="240" w:lineRule="auto"/>
        <w:ind/>
        <w:jc w:val="right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Universidade Estadual de Campinas (Unicamp) </w:t>
      </w:r>
      <w:r>
        <w:rPr>
          <w:sz w:val="24"/>
          <w:szCs w:val="24"/>
        </w:rPr>
      </w:r>
    </w:p>
    <w:p w14:paraId="150C4BD6">
      <w:pPr>
        <w:keepLines w:val="true"/>
        <w:widowControl w:val="false"/>
        <w:pBdr/>
        <w:spacing w:line="240" w:lineRule="auto"/>
        <w:ind/>
        <w:jc w:val="right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wesley.oliveira@ueap.edu.br</w:t>
      </w:r>
      <w:r/>
      <w:r/>
    </w:p>
    <w:p w14:paraId="0000000D">
      <w:pPr>
        <w:keepLines w:val="true"/>
        <w:widowControl w:val="false"/>
        <w:pBdr/>
        <w:spacing w:line="240" w:lineRule="auto"/>
        <w:ind/>
        <w:jc w:val="right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p w14:paraId="0000000E">
      <w:pPr>
        <w:keepLines w:val="true"/>
        <w:widowControl w:val="false"/>
        <w:pBdr/>
        <w:spacing w:line="240" w:lineRule="auto"/>
        <w:ind/>
        <w:jc w:val="both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p w14:paraId="0000000F">
      <w:pPr>
        <w:keepLines w:val="true"/>
        <w:widowControl w:val="false"/>
        <w:pBdr/>
        <w:spacing w:line="24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RESUMO </w:t>
      </w:r>
      <w:r>
        <w:rPr>
          <w:b/>
          <w:bCs/>
          <w:sz w:val="24"/>
          <w:szCs w:val="24"/>
        </w:rPr>
      </w:r>
    </w:p>
    <w:p w14:paraId="00000010">
      <w:pPr>
        <w:keepLines w:val="true"/>
        <w:widowControl w:val="false"/>
        <w:pBdr/>
        <w:spacing w:line="240" w:lineRule="auto"/>
        <w:ind/>
        <w:jc w:val="both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p w14:paraId="48371184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Esta foto-narrativa constitui-se como uma reflexão híbrida que busca tensionar a noção de biografia (individual e coletiva), ao mesmo tempo que compartilha experiências de diálogos de saberes sobre território, ecologia, redes sociotécnicas e infraestrutura </w:t>
      </w:r>
      <w:r>
        <w:rPr>
          <w:sz w:val="24"/>
          <w:szCs w:val="24"/>
          <w:rtl w:val="0"/>
        </w:rPr>
        <w:t xml:space="preserve">a partir de uma perspectiva contracolonial, anticolonial e transdisciplinar.</w:t>
      </w:r>
      <w:r/>
    </w:p>
    <w:p w14:paraId="240DBD16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Inspirados pelas provocações de Antônio Bispo dos Santos (2023), Ailton Krenak (2019, 2020, 2022), Anna L. Tsing (2022, 2019, 2005), Tim Ingold (2021a, 2021b) e Donna J. Haraway (2023), compreendemos que toda biografia é constituída pela sobreposição de camadas que env</w:t>
      </w:r>
      <w:r>
        <w:rPr>
          <w:sz w:val="24"/>
          <w:szCs w:val="24"/>
          <w:rtl w:val="0"/>
        </w:rPr>
        <w:t xml:space="preserve">olvem diversos atores humanos, não-humanos, mais-do-que-humanos e objetos técnicos (Akrich, 2014) que estão situados historicamente a partir de seus territórios e de seus marcadores sociais, como classe, raça, gênero, dentre outros fatores biopsicosociais.</w:t>
      </w:r>
      <w:r>
        <w:rPr>
          <w:sz w:val="24"/>
          <w:szCs w:val="24"/>
          <w:rtl w:val="0"/>
        </w:rPr>
      </w:r>
      <w:r/>
    </w:p>
    <w:p w14:paraId="19D54F2A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Diante desse contexto, tendo nossas pesquisas como base para a realização desta proposta e considerando a possibilidade de apresentar uma modalidade de trabalho pouco convencional em relação ao que costuma ser aceito em eventos acadêmicos, Wesley tomou conh</w:t>
      </w:r>
      <w:r>
        <w:rPr>
          <w:sz w:val="24"/>
          <w:szCs w:val="24"/>
          <w:rtl w:val="0"/>
        </w:rPr>
        <w:t xml:space="preserve">ecimento da chamada deste evento e propôs a Brenno que submetêssemos um trabalho.</w:t>
      </w:r>
      <w:r/>
    </w:p>
    <w:p w14:paraId="634125F2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Brenno, nascido e residente em Santos (SP), desenvolve uma pesquisa etnográfica sobre compostagem atrelada à práticas artísticas multimídias e multimodais, incorporando fotografias, grafos e sons captados das composteiras e leiras utlizando geofones e micro</w:t>
      </w:r>
      <w:r>
        <w:rPr>
          <w:sz w:val="24"/>
          <w:szCs w:val="24"/>
          <w:rtl w:val="0"/>
        </w:rPr>
        <w:t xml:space="preserve">fones de contato. Em sua dissertação, Brenno também pesquisou sobre a gestão de riscos e crises hídricas no Brasil, com ênfase no Estado de São Paulo, utilizando uma abordagem antropológica focada nas relações entre instituições humanas e não-humanas e os s</w:t>
      </w:r>
      <w:r>
        <w:rPr>
          <w:sz w:val="24"/>
          <w:szCs w:val="24"/>
          <w:rtl w:val="0"/>
        </w:rPr>
        <w:t xml:space="preserve">istemas de água.</w:t>
      </w:r>
      <w:r/>
    </w:p>
    <w:p w14:paraId="5EA31A28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Wesley, nascido em Viana-Ma, viveu sua infância e adolescência em Monte Dourado (PA), atualmente é docente e pesquisador efetivo autodeclarado negro na Universidade do Estado do Amapá e doutorando na Universidade Estadual de Campinas (Unicamp). Tem como age</w:t>
      </w:r>
      <w:r>
        <w:rPr>
          <w:sz w:val="24"/>
          <w:szCs w:val="24"/>
          <w:rtl w:val="0"/>
        </w:rPr>
        <w:t xml:space="preserve">nda de pesquisa a cultura hip hop e temas que envolvem as discussões para a educação para as relações étnico-raciais.</w:t>
      </w:r>
      <w:r/>
    </w:p>
    <w:p w14:paraId="00000015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rtl w:val="0"/>
        </w:rPr>
        <w:t xml:space="preserve">A respeito dos equipamentos técnicos, Brenno utilizou uma Canon EOS Rebel T5i e a lente do kit 18-55 f/3.5-5.6 e Wesley capturou as fotografias com um Iphone 15. As fotografias preservaram a ciência de cor característica de cada equipamento, sendo aplicados</w:t>
      </w:r>
      <w:r>
        <w:rPr>
          <w:sz w:val="24"/>
          <w:szCs w:val="24"/>
          <w:rtl w:val="0"/>
        </w:rPr>
        <w:t xml:space="preserve"> apenas pequenos ajustes de balanço de cores e contraste às imagens capturadas por Brenno.</w:t>
      </w:r>
      <w:r/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 w14:paraId="5A73DEDF">
      <w:pPr>
        <w:keepLines w:val="true"/>
        <w:widowControl w:val="false"/>
        <w:pBdr/>
        <w:spacing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801628">
      <w:pPr>
        <w:keepLines w:val="true"/>
        <w:widowControl w:val="false"/>
        <w:pBdr/>
        <w:spacing w:line="360" w:lineRule="auto"/>
        <w:ind w:firstLine="0"/>
        <w:jc w:val="both"/>
        <w:rPr>
          <w:b w:val="0"/>
          <w:bCs w:val="0"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rtl w:val="0"/>
        </w:rPr>
        <w:t xml:space="preserve">NARRATIVA</w:t>
      </w:r>
      <w:r>
        <w:rPr>
          <w:b w:val="0"/>
          <w:bCs w:val="0"/>
          <w:sz w:val="24"/>
          <w:szCs w:val="24"/>
          <w:highlight w:val="none"/>
          <w:rtl w:val="0"/>
        </w:rPr>
      </w:r>
      <w:r>
        <w:rPr>
          <w:b w:val="0"/>
          <w:bCs w:val="0"/>
          <w:sz w:val="24"/>
          <w:szCs w:val="24"/>
          <w:highlight w:val="none"/>
        </w:rPr>
      </w:r>
    </w:p>
    <w:p w14:paraId="6C41F08C">
      <w:pPr>
        <w:keepLines w:val="true"/>
        <w:widowControl w:val="false"/>
        <w:pBdr/>
        <w:spacing w:line="360" w:lineRule="auto"/>
        <w:ind w:firstLine="0"/>
        <w:jc w:val="both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  <w:rtl w:val="0"/>
        </w:rPr>
      </w:r>
      <w:r>
        <w:rPr>
          <w:b w:val="0"/>
          <w:bCs w:val="0"/>
          <w:sz w:val="24"/>
          <w:szCs w:val="24"/>
          <w:highlight w:val="none"/>
          <w:rtl w:val="0"/>
        </w:rPr>
      </w:r>
      <w:r>
        <w:rPr>
          <w:b w:val="0"/>
          <w:bCs w:val="0"/>
          <w:sz w:val="24"/>
          <w:szCs w:val="24"/>
          <w:highlight w:val="none"/>
          <w:rtl w:val="0"/>
        </w:rPr>
      </w:r>
    </w:p>
    <w:p w14:paraId="779BBDB3">
      <w:pPr>
        <w:keepLines w:val="true"/>
        <w:widowControl w:val="false"/>
        <w:pBdr/>
        <w:spacing w:line="360" w:lineRule="auto"/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  <w:r>
        <w:rPr>
          <w:b/>
          <w:bCs/>
          <w:sz w:val="24"/>
          <w:szCs w:val="24"/>
          <w:highlight w:val="none"/>
          <w:rtl w:val="0"/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91235" cy="292748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3173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4391234" cy="2927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5.77pt;height:230.51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409A4298">
      <w:pPr>
        <w:keepLines w:val="true"/>
        <w:widowControl w:val="false"/>
        <w:pBdr/>
        <w:spacing w:line="360" w:lineRule="auto"/>
        <w:ind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  <w:rtl w:val="0"/>
        </w:rPr>
      </w:r>
      <w:r>
        <w:rPr>
          <w:b w:val="0"/>
          <w:bCs w:val="0"/>
          <w:sz w:val="24"/>
          <w:szCs w:val="24"/>
          <w:highlight w:val="none"/>
          <w:rtl w:val="0"/>
        </w:rPr>
      </w:r>
      <w:r>
        <w:rPr>
          <w:b w:val="0"/>
          <w:bCs w:val="0"/>
          <w:sz w:val="24"/>
          <w:szCs w:val="24"/>
          <w:highlight w:val="none"/>
          <w:rtl w:val="0"/>
        </w:rPr>
      </w:r>
    </w:p>
    <w:p w14:paraId="51E4967B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futuro chegou na Baixada Santista.</w:t>
      </w:r>
      <w:r/>
    </w:p>
    <w:p w14:paraId="3688D978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Uma rede de dutos transporta gases inflamáveis por todo o município de Cubatão, infraestrutura esta que esteve envolvida em um dos mais graves crimes ambientais do país, o incêndio na Vila Socó, provocado por um vazamento da Refinaria Presidente Bernardes d</w:t>
      </w:r>
      <w:r>
        <w:rPr>
          <w:sz w:val="24"/>
          <w:szCs w:val="24"/>
        </w:rPr>
        <w:t xml:space="preserve">e Cubatão (RPBC) na década de 80. </w:t>
      </w:r>
      <w:r/>
    </w:p>
    <w:p w14:paraId="22184003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Apesar disso, os mesmos produtos continuam circulando por baixo dessa cidade e são armazenados em um amontoado de contêineres em uma área do Porto de Santos, onde também está atracado um "navio-bomba" capaz de armazenar,  regaseificar o gás natural liquefei</w:t>
      </w:r>
      <w:r>
        <w:rPr>
          <w:sz w:val="24"/>
          <w:szCs w:val="24"/>
        </w:rPr>
        <w:t xml:space="preserve">to (GNL) e explodir a proporções semelhantes à de uma bomba de Hiroshima. </w:t>
      </w:r>
      <w:r/>
    </w:p>
    <w:p w14:paraId="49E166A7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horizonte, está previsto ainda a construção de uma usina incineradora, que parece ser a única solução plausível de tratamento de resíduos para o governo municipal de Santos, enquanto Cubatão ofereceu uma área de 1 milhão de m² para a construção de um meg</w:t>
      </w:r>
      <w:r>
        <w:rPr>
          <w:sz w:val="24"/>
          <w:szCs w:val="24"/>
        </w:rPr>
        <w:t xml:space="preserve">a pátio de caminhões, desde que 40 mil pessoas sejam removidas e deslocadas do Jardim Casqueiro.</w:t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3BB8D02">
      <w:pPr>
        <w:keepLines w:val="true"/>
        <w:widowControl w:val="false"/>
        <w:pBdr/>
        <w:spacing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02DAC7">
      <w:pPr>
        <w:keepLines w:val="true"/>
        <w:widowControl w:val="false"/>
        <w:pBdr/>
        <w:spacing w:line="240" w:lineRule="auto"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b/>
          <w:bCs/>
          <w:sz w:val="24"/>
          <w:szCs w:val="24"/>
          <w:highlight w:val="none"/>
          <w:rtl w:val="0"/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9099" cy="26660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058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3999098" cy="2666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4.89pt;height:209.93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294E6122">
      <w:pPr>
        <w:keepLines w:val="true"/>
        <w:widowControl w:val="false"/>
        <w:pBdr/>
        <w:spacing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335165E">
      <w:pPr>
        <w:keepLines w:val="true"/>
        <w:widowControl w:val="false"/>
        <w:pBdr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Diversos outros projetos de infraestrutura seguem a mesma lógica: prometem desenvolvimento e progresso, mas deixam um rastro de ruínas, distribuindo riscos entre habitantes humanos e não-humanos e promovendo a devastação da biodiversidade regional. O Estado</w:t>
      </w:r>
      <w:r>
        <w:rPr>
          <w:sz w:val="24"/>
          <w:szCs w:val="24"/>
        </w:rPr>
        <w:t xml:space="preserve"> e o capitalismo, em sua fase precoce, presente ou tardia, agem de maneira voraz nos processos de invasão, espoliação e destruição em todo e quaisquer territórios. </w:t>
      </w:r>
      <w:r/>
    </w:p>
    <w:p w14:paraId="0A8A3C73">
      <w:pPr>
        <w:keepLines w:val="true"/>
        <w:widowControl w:val="false"/>
        <w:pBdr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Nesse processo, embora todas as pessoas sejam afetadas por esse percurso, como alertam Donna Haraway (2023) e Anna Tsing (2018), é a interseccionalidade que determina tanto a forma como cada indivíduo vivencia essas transformações quanto os recursos e possi</w:t>
      </w:r>
      <w:r>
        <w:rPr>
          <w:sz w:val="24"/>
          <w:szCs w:val="24"/>
        </w:rPr>
        <w:t xml:space="preserve">bilidades de que dispõe para buscar alternativas.</w:t>
      </w:r>
      <w:r/>
    </w:p>
    <w:p w14:paraId="57081541">
      <w:pPr>
        <w:keepLines w:val="true"/>
        <w:widowControl w:val="false"/>
        <w:pBdr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Essa dinâmica perpetua um "habitar colonial", estruturado pelo racismo e sustentado pela exploração de diversos seres e de todo o ambiente de maneira predatória (Ferdinand, 2022). A poluição, portanto, é um projeto colonial, na qual a plantation consolida a</w:t>
      </w:r>
      <w:r>
        <w:rPr>
          <w:sz w:val="24"/>
          <w:szCs w:val="24"/>
        </w:rPr>
        <w:t xml:space="preserve"> lógica da "sociedade sintética" (Liboiron, 2021; Tsing, 2019; Bookchin, 2018).</w:t>
      </w:r>
      <w:r/>
    </w:p>
    <w:p w14:paraId="0704F29B">
      <w:pPr>
        <w:keepLines w:val="true"/>
        <w:widowControl w:val="false"/>
        <w:pBdr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imaginário social,  historicamente o território que compreende a Amazônia evocou e ainda desperta diversas narrativas e disputas permeadas de relações de poder, colonização, exploração, mas, também, de resistência dos povos que nela habitam. e da sua ric</w:t>
      </w:r>
      <w:r>
        <w:rPr>
          <w:sz w:val="24"/>
          <w:szCs w:val="24"/>
        </w:rPr>
        <w:t xml:space="preserve">a biodiversidade. É sabido que o capitalismo internacional e os chamados “grandes projetos” adentram tais territórios expropriando suas riquezas naturais, deteriorando a natureza gerando mão de obra barata para os trabalhadores locais e riqueza para o grand</w:t>
      </w:r>
      <w:r>
        <w:rPr>
          <w:sz w:val="24"/>
          <w:szCs w:val="24"/>
        </w:rPr>
        <w:t xml:space="preserve">e capital. </w:t>
      </w:r>
      <w:r/>
    </w:p>
    <w:p w14:paraId="1140CB85">
      <w:pPr>
        <w:keepLines w:val="true"/>
        <w:widowControl w:val="false"/>
        <w:pBdr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Exemplo disso é o Projeto Jari, localizado às margens do Rio Jari, capitaneado pelo bilionário norte-americano Daniel Keith Ludwig. O projeto materializou-se em uma fábrica que veio do Japão para a Amazônia para extrair celulose e outro produtos, tendo iníc</w:t>
      </w:r>
      <w:r>
        <w:rPr>
          <w:sz w:val="24"/>
          <w:szCs w:val="24"/>
        </w:rPr>
        <w:t xml:space="preserve">io em 1967. Com isso, foi construida uma cidade planejada – Monte Dourado - para abrigar os trabalhadores que, em grande medida, vinham do do Pará e do Nordeste. </w:t>
      </w:r>
      <w:r/>
    </w:p>
    <w:p w14:paraId="1BAB6803">
      <w:pPr>
        <w:keepLines w:val="true"/>
        <w:widowControl w:val="false"/>
        <w:pBdr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É inconteste que nas décadas seguintes, sobretudo no início dos anos 2000, o capital estrangeiro lucrou substantivamente com a exportação e exploração de diversos recursos naturais da Amazônia, ao passo que atraia cada vez mais pessoas para trabalhar na reg</w:t>
      </w:r>
      <w:r>
        <w:rPr>
          <w:sz w:val="24"/>
          <w:szCs w:val="24"/>
        </w:rPr>
        <w:t xml:space="preserve">ião. Com efeito, intensificou-se o inchaço populacional e foram sendo construídas moradias autoconstruidas pelos próprios trabalhadores, em grande medida, pobres e imigrantes. </w:t>
      </w:r>
      <w:r/>
    </w:p>
    <w:p w14:paraId="3CA251DA">
      <w:pPr>
        <w:keepLines w:val="true"/>
        <w:widowControl w:val="false"/>
        <w:pBdr/>
        <w:spacing w:line="360" w:lineRule="auto"/>
        <w:ind w:firstLine="709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Tais moradias foram construídas de forma improvisadas e sem apoio estatal, do outro lado do Rio Jarí, que já abrange o território do estado do Amapá, especificamente o municipio do Laranjal do Jarí. Dessa forma, as casa às margens do Rio Jarí foram denomina</w:t>
      </w:r>
      <w:r>
        <w:rPr>
          <w:sz w:val="24"/>
          <w:szCs w:val="24"/>
        </w:rPr>
        <w:t xml:space="preserve">das Palafitas, sendo constituídas por madeiras em cima do Rio. Sumariamente, a região ficou dividida social, simbólica e culturalmante: de um lado, Monte Dourado, uma cidade bem planejada, estrurada e vista como alto padrão; de outro lado, Laranjal do Jarí,</w:t>
      </w:r>
      <w:r>
        <w:rPr>
          <w:sz w:val="24"/>
          <w:szCs w:val="24"/>
        </w:rPr>
        <w:t xml:space="preserve"> uma cidade desorganizada, periférica e com muita violência e prostituição.</w:t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FA0FF4A">
      <w:pPr>
        <w:keepLines w:val="true"/>
        <w:widowControl w:val="false"/>
        <w:pBdr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542DADB">
      <w:pPr>
        <w:keepLines w:val="true"/>
        <w:widowControl w:val="false"/>
        <w:pBdr/>
        <w:spacing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72070" cy="342504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395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272070" cy="3425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6.38pt;height:269.69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FC5DD0A">
      <w:pPr>
        <w:keepLines w:val="true"/>
        <w:widowControl w:val="false"/>
        <w:pBdr/>
        <w:spacing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B311F43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Posto isso, o primeiro ponto de inflexão que trazemos à baila nesse processo é a suposta ideia de desenvolvimento, que não passa de um discurso do colonizador para adestrar mente, corpos, apagar memórias dos territórios e destruir a natureza. Para o ativist</w:t>
      </w:r>
      <w:r>
        <w:rPr>
          <w:sz w:val="24"/>
          <w:szCs w:val="24"/>
        </w:rPr>
        <w:t xml:space="preserve">a político e líder quilombola Nêgo Bispo (2026), a palavra desenvolvimento foi criada pelo colonizador e que devemos recusá-la, e contrariar, no sentido de usar as armas do opressor contra ele. Por isso, ele prefere a palavra biointeração, que é a relação h</w:t>
      </w:r>
      <w:r>
        <w:rPr>
          <w:sz w:val="24"/>
          <w:szCs w:val="24"/>
        </w:rPr>
        <w:t xml:space="preserve">armoniosa e integrada dos seres humanos com a natureza. </w:t>
      </w:r>
      <w:r/>
    </w:p>
    <w:p w14:paraId="123F584B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seu livro A terra dar, A terra quer (2023), Bispo é enfático ao afirmar que não é a natureza que precisa de nós, mas sim, nós que precisamos da natureza. Em 2026, o Projeto Jarí está em decadência e os  recursos naturais escassos e demolidos. Com efeito,</w:t>
      </w:r>
      <w:r>
        <w:rPr>
          <w:sz w:val="24"/>
          <w:szCs w:val="24"/>
        </w:rPr>
        <w:t xml:space="preserve"> muitos trabalhadores estão sem receber salários há meses, pessoas indo embora da cidade e não há dúvidas de que daqui há alguns anos Monte Dourado se tornará uma “cidade fantasma”. </w:t>
      </w:r>
      <w:r/>
    </w:p>
    <w:p w14:paraId="03DA522E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Nessa altura da argumentação, cabe perguntar: quem foi o principal sujeito da Região do Jarí? Deslocando-se de uma lógica colonial e ancorado na perspectiva do ambientalista e filósofo indígena brasileiro Ailton Krenak, defendemos que foi o Rio Jarí. Na cos</w:t>
      </w:r>
      <w:r>
        <w:rPr>
          <w:sz w:val="24"/>
          <w:szCs w:val="24"/>
        </w:rPr>
        <w:t xml:space="preserve">mologia indígena, ele é o fundador do mundo; um sujeito ancestral,  que gera, sustenta e conecta a vida.</w:t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321B63D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BBDEDD">
      <w:pPr>
        <w:keepLines w:val="true"/>
        <w:widowControl w:val="false"/>
        <w:pBdr/>
        <w:spacing w:line="360" w:lineRule="auto"/>
        <w:ind w:firstLine="720"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  <w:lang w:val="pt-BR"/>
        </w:rPr>
      </w:r>
      <w:r>
        <w:rPr>
          <w:b w:val="0"/>
          <w:bCs w:val="0"/>
          <w:i w:val="0"/>
          <w:sz w:val="24"/>
          <w:szCs w:val="24"/>
          <w:highlight w:val="none"/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79489" cy="353477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3907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3979488" cy="3534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3.35pt;height:278.33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sz w:val="24"/>
          <w:szCs w:val="24"/>
          <w:highlight w:val="none"/>
          <w:lang w:val="pt-BR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C41DA9B">
      <w:pPr>
        <w:keepLines w:val="true"/>
        <w:widowControl w:val="false"/>
        <w:pBdr/>
        <w:spacing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027CA52">
      <w:pPr>
        <w:pBdr/>
        <w:shd w:val="nil"/>
        <w:spacing/>
        <w:ind/>
        <w:rPr>
          <w:sz w:val="24"/>
          <w:szCs w:val="24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17">
      <w:pPr>
        <w:keepLines w:val="true"/>
        <w:widowControl w:val="false"/>
        <w:pBdr/>
        <w:spacing w:line="24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INSIRA AQUI O LINK DO VÍDEO OU O LINK DO PODCAST OU A FOTO-NARRATIVA:</w:t>
      </w:r>
      <w:r>
        <w:rPr>
          <w:b/>
          <w:bCs/>
          <w:sz w:val="24"/>
          <w:szCs w:val="24"/>
        </w:rPr>
      </w:r>
    </w:p>
    <w:p w14:paraId="44896CE1">
      <w:pPr>
        <w:keepLines w:val="true"/>
        <w:widowControl w:val="false"/>
        <w:pBdr/>
        <w:spacing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18">
      <w:pPr>
        <w:keepLines w:val="true"/>
        <w:widowControl w:val="false"/>
        <w:pBdr/>
        <w:spacing w:line="240" w:lineRule="auto"/>
        <w:ind/>
        <w:jc w:val="both"/>
        <w:rPr>
          <w:color w:val="0070c0"/>
          <w:highlight w:val="none"/>
        </w:rPr>
      </w:pPr>
      <w:r>
        <w:rPr>
          <w:color w:val="0070c0"/>
          <w:rtl w:val="0"/>
        </w:rPr>
      </w:r>
      <w:r>
        <w:rPr>
          <w:color w:val="0070c0"/>
          <w:rtl w:val="0"/>
        </w:rPr>
      </w:r>
      <w:hyperlink r:id="rId16" w:tooltip="https://brennodemarchi.onlyoffice.com/s/NgqtXF4rktp7KYc" w:history="1">
        <w:r>
          <w:rPr>
            <w:rStyle w:val="187"/>
            <w:color w:val="0070c0"/>
            <w:rtl w:val="0"/>
          </w:rPr>
          <w:t xml:space="preserve">https://brennodemarchi.onlyoffice.com/s/NgqtXF4rktp7KYc</w:t>
        </w:r>
        <w:r>
          <w:rPr>
            <w:rStyle w:val="187"/>
            <w:color w:val="0070c0"/>
            <w:rtl w:val="0"/>
          </w:rPr>
        </w:r>
        <w:r>
          <w:rPr>
            <w:rStyle w:val="187"/>
            <w:color w:val="0070c0"/>
            <w:sz w:val="24"/>
            <w:szCs w:val="24"/>
          </w:rPr>
        </w:r>
      </w:hyperlink>
      <w:r>
        <w:rPr>
          <w:color w:val="0070c0"/>
        </w:rPr>
      </w:r>
      <w:r>
        <w:rPr>
          <w:color w:val="0070c0"/>
          <w:sz w:val="24"/>
          <w:szCs w:val="24"/>
        </w:rPr>
      </w:r>
    </w:p>
    <w:p w14:paraId="202309B7">
      <w:pPr>
        <w:keepLines w:val="true"/>
        <w:widowControl w:val="false"/>
        <w:pBdr/>
        <w:spacing w:line="240" w:lineRule="auto"/>
        <w:ind/>
        <w:jc w:val="both"/>
        <w:rPr>
          <w:sz w:val="24"/>
          <w:szCs w:val="24"/>
        </w:rPr>
      </w:pP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00000019">
      <w:pPr>
        <w:keepLines w:val="true"/>
        <w:widowControl w:val="false"/>
        <w:pBdr/>
        <w:spacing w:line="240" w:lineRule="auto"/>
        <w:ind/>
        <w:jc w:val="both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p w14:paraId="0000001A">
      <w:pPr>
        <w:keepLines w:val="true"/>
        <w:widowControl w:val="false"/>
        <w:pBdr/>
        <w:spacing w:line="240" w:lineRule="auto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REFERÊNCIAS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</w:rPr>
      </w:r>
    </w:p>
    <w:p w14:paraId="0000001C">
      <w:pPr>
        <w:pBdr/>
        <w:spacing/>
        <w:ind/>
        <w:rPr/>
      </w:pPr>
      <w:r>
        <w:rPr>
          <w:rtl w:val="0"/>
        </w:rPr>
      </w:r>
      <w:r/>
    </w:p>
    <w:p w14:paraId="65056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AKRICH, Madeleine. Como descrever os objetos técnicos?.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Boletim Campineiro de Geografia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, Campinas, v. 4, n. 1, p. 161–182, 2014. </w:t>
      </w:r>
      <w:r/>
    </w:p>
    <w:p w14:paraId="21261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BOCCHINI, Bruno. Porto de Santos registrou em 2025 maior movimentação de sua história: operações para exportação totalizaram 137,4 milhões de toneladas.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Agência Brasil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, São Paulo, 16 jan. 2026. Economia. Disponível em: </w:t>
      </w:r>
      <w:hyperlink r:id="rId17" w:tooltip="https://agenciabrasil.ebc.com.br/economia/noticia/2026-01/porto-de-santos-registrou-em-2025-maior-movimentacao-de-sua-historia#:~:text=O%20pa%C3%ADs%20com%20o%20qual,(9%2C8%20milh%C3%B5es)" w:history="1">
        <w:r>
          <w:rPr>
            <w:rStyle w:val="187"/>
            <w:rFonts w:ascii="Noto Serif Sinhala" w:hAnsi="Noto Serif Sinhala" w:eastAsia="Noto Serif Sinhala" w:cs="Noto Serif Sinhala"/>
            <w:color w:val="0070c0"/>
            <w:sz w:val="24"/>
            <w:u w:val="single"/>
          </w:rPr>
          <w:t xml:space="preserve">https://agenciabrasil.ebc.com.br/economia/noticia/2026-01/porto-de-santos-registrou-em-2025-maior-movimentacao-de-sua-historia#:~:text=O%20pa%C3%ADs%20com%20o%20qual,(9%2C8%20milh%C3%B5es)</w:t>
        </w:r>
      </w:hyperlink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Acesso em: 20 maio 2026.</w:t>
      </w:r>
      <w:r/>
    </w:p>
    <w:p w14:paraId="429C9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BOOKCHIN, Murray.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Our synthetic environment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Eastford, CT: Martino Fine Books, 2018. </w:t>
      </w:r>
      <w:r/>
    </w:p>
    <w:p w14:paraId="512E1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FERDINAND, Malcom.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Uma ecologia decolonial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tradução: Leticia Mei. São Paulo, SP: Ubu Editora, 2022. </w:t>
      </w:r>
      <w:r/>
    </w:p>
    <w:p w14:paraId="31372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INGOLD, Tim.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Estar vivo: ensaios sobre movimento, conhecimento e descrição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Petrópolis, RJ: Editora Vozes, 2021a. </w:t>
      </w:r>
      <w:r/>
    </w:p>
    <w:p w14:paraId="606FD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INGOLD, Tim.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The perception of the environment: essays on livelihood, dwelling and skill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New editioned. London: Routledge, 2021b. </w:t>
      </w:r>
      <w:r/>
    </w:p>
    <w:p w14:paraId="64180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INSTITUTO BRASILEIRO DE GEOGRAFIA E ESTATÍSTICA - IBGE. Santos. Cidades e Estados, , 2026. Disponível em: </w:t>
      </w:r>
      <w:hyperlink r:id="rId18" w:tooltip="https://www.ibge.gov.br/cidades-e-estados/sp/santos.html" w:history="1">
        <w:r>
          <w:rPr>
            <w:rStyle w:val="187"/>
            <w:rFonts w:ascii="Noto Serif Sinhala" w:hAnsi="Noto Serif Sinhala" w:eastAsia="Noto Serif Sinhala" w:cs="Noto Serif Sinhala"/>
            <w:color w:val="0070c0"/>
            <w:sz w:val="24"/>
            <w:u w:val="single"/>
          </w:rPr>
          <w:t xml:space="preserve">https://www.ibge.gov.br/cidades-e-estados/sp/santos.html</w:t>
        </w:r>
      </w:hyperlink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Acesso em: 29 jul. 2026.</w:t>
      </w:r>
      <w:r/>
    </w:p>
    <w:p w14:paraId="2A5C9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KRENAK, Ailton.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A vida não é útil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São Paulo: Companhia Das Letras, 2020. </w:t>
      </w:r>
      <w:r/>
    </w:p>
    <w:p w14:paraId="70D9F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KRENAK, Ailton.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Futuro ancestral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São Paulo: Companhia Das Letras, 2022. </w:t>
      </w:r>
      <w:r/>
    </w:p>
    <w:p w14:paraId="21FF5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KRENAK, Ailton.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Ideias para adiar o fim do mundo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São Paulo: Companhia das Letras, 2019. </w:t>
      </w:r>
      <w:r/>
    </w:p>
    <w:p w14:paraId="3B9B4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LIBOIRON, Max.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Pollution Is Colonialism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[</w:t>
      </w:r>
      <w:r>
        <w:rPr>
          <w:rFonts w:ascii="Noto Serif Sinhala" w:hAnsi="Noto Serif Sinhala" w:eastAsia="Noto Serif Sinhala" w:cs="Noto Serif Sinhala"/>
          <w:i/>
          <w:color w:val="000000"/>
          <w:sz w:val="24"/>
        </w:rPr>
        <w:t xml:space="preserve">S. l.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]: Duke University Press, 2021. Disponível em: </w:t>
      </w:r>
      <w:hyperlink r:id="rId19" w:tooltip="http://read.dukeupress.edu/books/book/2876/Pollution-Is-Colonialism" w:history="1">
        <w:r>
          <w:rPr>
            <w:rStyle w:val="187"/>
            <w:rFonts w:ascii="Noto Serif Sinhala" w:hAnsi="Noto Serif Sinhala" w:eastAsia="Noto Serif Sinhala" w:cs="Noto Serif Sinhala"/>
            <w:color w:val="0070c0"/>
            <w:sz w:val="24"/>
            <w:u w:val="single"/>
          </w:rPr>
          <w:t xml:space="preserve">http://read.dukeupress.edu/books/book/2876/Pollution-Is-Colonialism</w:t>
        </w:r>
      </w:hyperlink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Acesso em: 30 jul. 2026.</w:t>
      </w:r>
      <w:r/>
    </w:p>
    <w:p w14:paraId="1563D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SANTOS, Antonio Bispo dos.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O que a terra dá a terra quer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São Paulo: Ubu Editora, 2023. </w:t>
      </w:r>
      <w:r/>
    </w:p>
    <w:p w14:paraId="1C440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TSING, Anna Lowenhaupt.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Friction: an ethnography of global connection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Princeton, N.J: Princeton University Press, 2005. </w:t>
      </w:r>
      <w:r/>
    </w:p>
    <w:p w14:paraId="5764B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TSING, Anna.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O cogumelo no fim do mundo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São Paulo: N-1 Edições, 2022. </w:t>
      </w:r>
      <w:r/>
    </w:p>
    <w:p w14:paraId="42E47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tLeast"/>
        <w:ind w:right="0" w:firstLine="0" w:left="0"/>
        <w:rPr>
          <w:rFonts w:ascii="Noto Serif Sinhala" w:hAnsi="Noto Serif Sinhala" w:eastAsia="Noto Serif Sinhala" w:cs="Noto Serif Sinhala"/>
          <w:sz w:val="24"/>
        </w:rPr>
      </w:pP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TSING, Anna Lowenhaupt. </w:t>
      </w:r>
      <w:r>
        <w:rPr>
          <w:rFonts w:ascii="Noto Serif Sinhala" w:hAnsi="Noto Serif Sinhala" w:eastAsia="Noto Serif Sinhala" w:cs="Noto Serif Sinhala"/>
          <w:b/>
          <w:color w:val="000000"/>
          <w:sz w:val="24"/>
        </w:rPr>
        <w:t xml:space="preserve">Viver nas ruínas: paisagens multiespécies no antropoceno</w:t>
      </w:r>
      <w:r>
        <w:rPr>
          <w:rFonts w:ascii="Noto Serif Sinhala" w:hAnsi="Noto Serif Sinhala" w:eastAsia="Noto Serif Sinhala" w:cs="Noto Serif Sinhala"/>
          <w:color w:val="000000"/>
          <w:sz w:val="24"/>
        </w:rPr>
        <w:t xml:space="preserve">. Brasília: IEB Mil Folhas, 2019. </w:t>
      </w:r>
      <w:r/>
    </w:p>
    <w:p w14:paraId="0000001D">
      <w:pPr>
        <w:pBdr/>
        <w:spacing w:after="200" w:line="240" w:lineRule="auto"/>
        <w:ind/>
        <w:jc w:val="both"/>
        <w:rPr>
          <w:rFonts w:ascii="Garamond" w:hAnsi="Garamond" w:eastAsia="Garamond" w:cs="Garamond"/>
          <w:b/>
          <w:bCs/>
        </w:rPr>
      </w:pPr>
      <w:r>
        <w:rPr>
          <w:rtl w:val="0"/>
        </w:rPr>
      </w:r>
      <w:r>
        <w:rPr>
          <w:rFonts w:ascii="Garamond" w:hAnsi="Garamond" w:eastAsia="Garamond" w:cs="Garamond"/>
          <w:b/>
          <w:bCs/>
        </w:rPr>
      </w:r>
    </w:p>
    <w:sectPr>
      <w:headerReference w:type="default" r:id="rId8"/>
      <w:headerReference w:type="first" r:id="rId9"/>
      <w:footerReference w:type="default" r:id="rId10"/>
      <w:footerReference w:type="first" r:id="rId11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603050405020304"/>
  </w:font>
  <w:font w:name="Noto Serif Sinhala">
    <w:panose1 w:val="020205020605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22">
    <w:pPr>
      <w:pBdr/>
      <w:spacing/>
      <w:ind/>
      <w:jc w:val="center"/>
      <w:rPr/>
    </w:pPr>
    <w: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24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E">
    <w:pPr>
      <w:pBdr/>
      <w:spacing/>
      <w:ind/>
      <w:jc w:val="right"/>
      <w:rPr/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1" locked="0" layoutInCell="1" allowOverlap="1">
              <wp:simplePos x="0" y="0"/>
              <wp:positionH relativeFrom="column">
                <wp:posOffset>5000625</wp:posOffset>
              </wp:positionH>
              <wp:positionV relativeFrom="paragraph">
                <wp:posOffset>8886825</wp:posOffset>
              </wp:positionV>
              <wp:extent cx="1700213" cy="1700213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1700212" cy="170021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393.75pt;mso-position-horizontal:absolute;mso-position-vertical-relative:text;margin-top:699.75pt;mso-position-vertical:absolute;width:133.88pt;height:133.88pt;mso-wrap-distance-left:9.00pt;mso-wrap-distance-top:9.00pt;mso-wrap-distance-right:9.00pt;mso-wrap-distance-bottom:9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1" locked="0" layoutInCell="1" allowOverlap="1">
              <wp:simplePos x="0" y="0"/>
              <wp:positionH relativeFrom="column">
                <wp:posOffset>5791200</wp:posOffset>
              </wp:positionH>
              <wp:positionV relativeFrom="paragraph">
                <wp:posOffset>-304799</wp:posOffset>
              </wp:positionV>
              <wp:extent cx="664882" cy="762000"/>
              <wp:effectExtent l="0" t="0" r="0" b="0"/>
              <wp:wrapNone/>
              <wp:docPr id="2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/>
                      <pic:nvPr/>
                    </pic:nvPicPr>
                    <pic:blipFill rotWithShape="1">
                      <a:blip r:embed="rId2"/>
                      <a:srcRect l="0" t="235" r="0" b="234"/>
                      <a:stretch/>
                    </pic:blipFill>
                    <pic:spPr bwMode="auto">
                      <a:xfrm>
                        <a:off x="0" y="0"/>
                        <a:ext cx="664882" cy="762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456.00pt;mso-position-horizontal:absolute;mso-position-vertical-relative:text;margin-top:-24.00pt;mso-position-vertical:absolute;width:52.35pt;height:60.00pt;mso-wrap-distance-left:9.00pt;mso-wrap-distance-top:9.00pt;mso-wrap-distance-right:9.00pt;mso-wrap-distance-bottom:9.00pt;z-index:1;">
              <v:imagedata r:id="rId2" o:title="" croptop="154f" cropleft="0f" cropbottom="153f" cropright="0f"/>
              <o:lock v:ext="edit" rotation="t"/>
            </v:shape>
          </w:pict>
        </mc:Fallback>
      </mc:AlternateContent>
    </w:r>
    <w:r/>
  </w:p>
  <w:p w14:paraId="0000001F">
    <w:pPr>
      <w:pBdr/>
      <w:spacing/>
      <w:ind/>
      <w:jc w:val="right"/>
      <w:rPr/>
    </w:pPr>
    <w:r>
      <w:rPr>
        <w:rtl w:val="0"/>
      </w:rPr>
    </w:r>
    <w:r/>
  </w:p>
  <w:p w14:paraId="00000020">
    <w:pPr>
      <w:pBdr/>
      <w:spacing/>
      <w:ind/>
      <w:jc w:val="right"/>
      <w:rPr/>
    </w:pPr>
    <w:r>
      <w:rPr>
        <w:rtl w:val="0"/>
      </w:rPr>
    </w:r>
    <w:r/>
  </w:p>
  <w:p w14:paraId="00000021">
    <w:pPr>
      <w:pBdr/>
      <w:spacing/>
      <w:ind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-5714</wp:posOffset>
              </wp:positionV>
              <wp:extent cx="416339" cy="10716578"/>
              <wp:effectExtent l="0" t="0" r="0" b="0"/>
              <wp:wrapNone/>
              <wp:docPr id="3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3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416339" cy="1071657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0;o:allowoverlap:true;o:allowincell:true;mso-position-horizontal-relative:page;margin-left:0.00pt;mso-position-horizontal:absolute;mso-position-vertical-relative:page;margin-top:-0.45pt;mso-position-vertical:absolute;width:32.78pt;height:843.83pt;mso-wrap-distance-left:9.00pt;mso-wrap-distance-top:9.00pt;mso-wrap-distance-right:9.00pt;mso-wrap-distance-bottom:9.00pt;z-index:1;">
              <v:imagedata r:id="rId3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23"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59"/>
    <w:next w:val="75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9"/>
    <w:next w:val="75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9"/>
    <w:next w:val="75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9"/>
    <w:next w:val="75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5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9"/>
    <w:next w:val="75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5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5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59"/>
    <w:next w:val="7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5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9"/>
    <w:next w:val="759"/>
    <w:uiPriority w:val="39"/>
    <w:unhideWhenUsed/>
    <w:pPr>
      <w:pBdr/>
      <w:spacing w:after="100"/>
      <w:ind/>
    </w:pPr>
  </w:style>
  <w:style w:type="paragraph" w:styleId="190">
    <w:name w:val="toc 2"/>
    <w:basedOn w:val="759"/>
    <w:next w:val="759"/>
    <w:uiPriority w:val="39"/>
    <w:unhideWhenUsed/>
    <w:pPr>
      <w:pBdr/>
      <w:spacing w:after="100"/>
      <w:ind w:left="220"/>
    </w:pPr>
  </w:style>
  <w:style w:type="paragraph" w:styleId="191">
    <w:name w:val="toc 3"/>
    <w:basedOn w:val="759"/>
    <w:next w:val="759"/>
    <w:uiPriority w:val="39"/>
    <w:unhideWhenUsed/>
    <w:pPr>
      <w:pBdr/>
      <w:spacing w:after="100"/>
      <w:ind w:left="440"/>
    </w:pPr>
  </w:style>
  <w:style w:type="paragraph" w:styleId="192">
    <w:name w:val="toc 4"/>
    <w:basedOn w:val="759"/>
    <w:next w:val="759"/>
    <w:uiPriority w:val="39"/>
    <w:unhideWhenUsed/>
    <w:pPr>
      <w:pBdr/>
      <w:spacing w:after="100"/>
      <w:ind w:left="660"/>
    </w:pPr>
  </w:style>
  <w:style w:type="paragraph" w:styleId="193">
    <w:name w:val="toc 5"/>
    <w:basedOn w:val="759"/>
    <w:next w:val="759"/>
    <w:uiPriority w:val="39"/>
    <w:unhideWhenUsed/>
    <w:pPr>
      <w:pBdr/>
      <w:spacing w:after="100"/>
      <w:ind w:left="880"/>
    </w:pPr>
  </w:style>
  <w:style w:type="paragraph" w:styleId="194">
    <w:name w:val="toc 6"/>
    <w:basedOn w:val="759"/>
    <w:next w:val="759"/>
    <w:uiPriority w:val="39"/>
    <w:unhideWhenUsed/>
    <w:pPr>
      <w:pBdr/>
      <w:spacing w:after="100"/>
      <w:ind w:left="1100"/>
    </w:pPr>
  </w:style>
  <w:style w:type="paragraph" w:styleId="195">
    <w:name w:val="toc 7"/>
    <w:basedOn w:val="759"/>
    <w:next w:val="759"/>
    <w:uiPriority w:val="39"/>
    <w:unhideWhenUsed/>
    <w:pPr>
      <w:pBdr/>
      <w:spacing w:after="100"/>
      <w:ind w:left="1320"/>
    </w:pPr>
  </w:style>
  <w:style w:type="paragraph" w:styleId="196">
    <w:name w:val="toc 8"/>
    <w:basedOn w:val="759"/>
    <w:next w:val="759"/>
    <w:uiPriority w:val="39"/>
    <w:unhideWhenUsed/>
    <w:pPr>
      <w:pBdr/>
      <w:spacing w:after="100"/>
      <w:ind w:left="1540"/>
    </w:pPr>
  </w:style>
  <w:style w:type="paragraph" w:styleId="197">
    <w:name w:val="toc 9"/>
    <w:basedOn w:val="759"/>
    <w:next w:val="75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9"/>
    <w:next w:val="759"/>
    <w:uiPriority w:val="99"/>
    <w:unhideWhenUsed/>
    <w:pPr>
      <w:pBdr/>
      <w:spacing w:after="0" w:afterAutospacing="0"/>
      <w:ind/>
    </w:pPr>
  </w:style>
  <w:style w:type="table" w:styleId="75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9" w:default="1">
    <w:name w:val="Normal"/>
    <w:pPr>
      <w:pBdr/>
      <w:spacing/>
      <w:ind/>
    </w:pPr>
  </w:style>
  <w:style w:type="paragraph" w:styleId="760">
    <w:name w:val="Heading 1"/>
    <w:basedOn w:val="759"/>
    <w:next w:val="75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61">
    <w:name w:val="Heading 2"/>
    <w:basedOn w:val="759"/>
    <w:next w:val="759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762">
    <w:name w:val="Heading 3"/>
    <w:basedOn w:val="759"/>
    <w:next w:val="759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63">
    <w:name w:val="Heading 4"/>
    <w:basedOn w:val="759"/>
    <w:next w:val="75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64">
    <w:name w:val="Heading 5"/>
    <w:basedOn w:val="759"/>
    <w:next w:val="75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65">
    <w:name w:val="Heading 6"/>
    <w:basedOn w:val="759"/>
    <w:next w:val="759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66">
    <w:name w:val="Title"/>
    <w:basedOn w:val="759"/>
    <w:next w:val="75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67">
    <w:name w:val="Subtitle"/>
    <w:basedOn w:val="759"/>
    <w:next w:val="75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hyperlink" Target="https://brennodemarchi.onlyoffice.com/s/NgqtXF4rktp7KYc" TargetMode="External"/><Relationship Id="rId17" Type="http://schemas.openxmlformats.org/officeDocument/2006/relationships/hyperlink" Target="https://agenciabrasil.ebc.com.br/economia/noticia/2026-01/porto-de-santos-registrou-em-2025-maior-movimentacao-de-sua-historia#:~:text=O%20pa%C3%ADs%20com%20o%20qual,(9%2C8%20milh%C3%B5es)" TargetMode="External"/><Relationship Id="rId18" Type="http://schemas.openxmlformats.org/officeDocument/2006/relationships/hyperlink" Target="https://www.ibge.gov.br/cidades-e-estados/sp/santos.html" TargetMode="External"/><Relationship Id="rId19" Type="http://schemas.openxmlformats.org/officeDocument/2006/relationships/hyperlink" Target="http://read.dukeupress.edu/books/book/2876/Pollution-Is-Colonialis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onlyoffice/9.4.1.15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