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92586">
      <w:pPr>
        <w:spacing w:after="240" w:line="240" w:lineRule="auto"/>
        <w:ind w:firstLine="0"/>
        <w:jc w:val="center"/>
      </w:pPr>
      <w:bookmarkStart w:id="0" w:name="_GoBack"/>
      <w:bookmarkEnd w:id="0"/>
      <w:r>
        <w:rPr>
          <w:rFonts w:cs="Arial"/>
          <w:b/>
        </w:rPr>
        <w:t>NOME DO CONVERSATÓRIO: CONVERSATÓRIO 7 - EDUCAÇÃO ANTIRRACISTA NA EDUCAÇÃO BÁSICA: EDUCANDO PARA AS RELAÇÕES ÉTNICO-RACIAIS</w:t>
      </w:r>
    </w:p>
    <w:p w14:paraId="5FA14D89">
      <w:pPr>
        <w:spacing w:after="240" w:line="240" w:lineRule="auto"/>
        <w:ind w:firstLine="0"/>
        <w:jc w:val="center"/>
      </w:pPr>
      <w:r>
        <w:rPr>
          <w:rFonts w:cs="Arial"/>
          <w:b/>
        </w:rPr>
        <w:t>A leitura como (des)aprendizagem do racismo estrutural: protagonismo discente e educação antirracista</w:t>
      </w:r>
    </w:p>
    <w:p w14:paraId="4A286207">
      <w:pPr>
        <w:spacing w:after="360" w:line="240" w:lineRule="auto"/>
        <w:ind w:firstLine="0"/>
        <w:jc w:val="center"/>
        <w:rPr>
          <w:rFonts w:cs="Arial"/>
        </w:rPr>
      </w:pPr>
      <w:r>
        <w:rPr>
          <w:rFonts w:cs="Arial"/>
        </w:rPr>
        <w:t xml:space="preserve">Jilvan Batista Alves dos Santos, </w:t>
      </w:r>
      <w:r>
        <w:t>Fundação Joaquim Nabuco</w:t>
      </w:r>
      <w:r>
        <w:rPr>
          <w:rFonts w:cs="Arial"/>
        </w:rPr>
        <w:t>, Jilvanbatista141@gmail.com</w:t>
      </w:r>
    </w:p>
    <w:p w14:paraId="0A45778B">
      <w:pPr>
        <w:spacing w:after="120" w:line="240" w:lineRule="auto"/>
        <w:ind w:firstLine="0"/>
      </w:pPr>
      <w:r>
        <w:rPr>
          <w:rFonts w:cs="Arial"/>
          <w:b/>
        </w:rPr>
        <w:t>RESUMO</w:t>
      </w:r>
    </w:p>
    <w:p w14:paraId="2607D089">
      <w:r>
        <w:t xml:space="preserve">O racismo estrutural constitui um dos principais mecanismos de produção e reprodução das desigualdades sociais no Brasil, pois se manifesta tanto em atos individuais de discriminação quanto nas instituições, nas práticas cotidianas e nas relações de poder que distribuem privilégios e desvantagens racialmente (ALMEIDA, 2021). A escola integra essa estrutura ao transmitir conhecimentos e participar da construção de valores, identidades e representações sobre as relações étnico-raciais, podendo reproduzir silenciamentos e desigualdades presentes na sociedade (CAVALLEIRO, 2017). </w:t>
      </w:r>
    </w:p>
    <w:p w14:paraId="14D7E4B9">
      <w:r>
        <w:t>O objetivo deste trabalho foi analisar as contribuições de uma intervenção pedagógica baseada na leitura para a (des)aprendizagem do racismo estrutural e para o fortalecimento do protagonismo discente na educação antirracista.</w:t>
      </w:r>
    </w:p>
    <w:p w14:paraId="396E5597">
      <w:r>
        <w:t>A pesquisa parte do entendimento de que o racismo pode ser aprendido e reproduzido desde a infância por meio dos currículos, dos silenciamentos históricos e da ausência de representatividade negra nos materiais e nas práticas escolares (SPENGLER; DEBUS, 2019). O silêncio institucional diante do preconceito e da discriminação pode comprometer a formação de crianças e adolescentes negros e contribuir para sentimentos de superioridade entre estudantes brancos (CAVALLEIRO, 2017). A escola também pode constituir um espaço de questionamento e transformação quando a leitura ultrapassa a decodificação de palavras e se converte em leitura crítica do mundo (FREIRE, 1990).</w:t>
      </w:r>
    </w:p>
    <w:p w14:paraId="58D6472A">
      <w:pPr>
        <w:rPr>
          <w:rFonts w:cs="Arial"/>
        </w:rPr>
      </w:pPr>
      <w:r>
        <w:t>A questão central que orienta esta reflexão é: por que promover a leitura crítica das relações étnico-raciais entre os discentes?</w:t>
      </w:r>
    </w:p>
    <w:p w14:paraId="2F74F0C6">
      <w:r>
        <w:t>A participação ativa dos estudantes permite que eles interpretem a realidade escolar, formulem questionamentos e se reconheçam como sujeitos da produção do conhecimento e da transformação educativa (HOOKS, 2017). O contato com a história e a cultura afro-brasileira favorece o reconhecimento de estereótipos, a compreensão das desigualdades raciais e a construção de identidades negras positivas (MUNANGA, 2001). Esse protagonismo pode tensionar docentes e equipes pedagógicas a reverem suas práticas e a efetivarem a Lei nº 10.639/2003, que tornou obrigatório o ensino de História e Cultura Afro-Brasileira no currículo escolar (BRASIL, 2003).</w:t>
      </w:r>
    </w:p>
    <w:p w14:paraId="34459F97">
      <w:r>
        <w:t>Nessa perspectiva, a (des)aprendizagem é compreendida como um movimento contínuo de revisão das formas de pensar, sentir e agir, pelo qual ideias, narrativas e comportamentos produzidos pela colonialidade podem ser problematizados, ressignificados e reconstruídos, permitindo que experiências e saberes historicamente subalternizados integrem legitimamente o processo educativo (MIGNOLO, 2008). A valorização de diferentes narrativas contrapõe-se ao perigo da história única, que reduz grupos sociais a representações incompletas e favorece a reprodução de estereótipos (ADICHIE, 2019).</w:t>
      </w:r>
    </w:p>
    <w:p w14:paraId="6E083E84">
      <w:r>
        <w:t>Metodologicamente, adotou-se uma abordagem qualitativa desenvolvida por meio de intervenção pedagógica com estudantes do Ensino Médio de uma escola pública do Recife, articulando conteúdos de Língua Portuguesa e Sociologia mediante textos, obras literárias, produções audiovisuais, rodas de conversa, escuta sensível, questionários, observações, narrativas e atividades individuais e coletivas realizadas durante o período letivo, com momentos de socialização relacionados à Semana da Consciência Negra (SANTOS, 2023).</w:t>
      </w:r>
    </w:p>
    <w:p w14:paraId="4D5345EA">
      <w:r>
        <w:t>As experiências analisadas indicaram ampliação da capacidade dos estudantes de reconhecer expressões, práticas e situações anteriormente naturalizadas, relacionando-as às desigualdades raciais presentes na escola e na sociedade, além de questionamentos dirigidos à gestão e aos docentes, manifestações de defesa de direitos e maior participação nos debates sobre identidade e justiça racial (SANTOS, 2023). Embora os dados não permitam afirmar a consolidação de mudanças institucionais, eles evidenciam o potencial da leitura crítica e do protagonismo estudantil para provocar revisões pedagógicas e fortalecer a educação para as relações étnico-raciais, aproximando-se da compreensão do Movimento Negro como produtor de saberes e agente educador da sociedade (GOMES, 2017).</w:t>
      </w:r>
    </w:p>
    <w:p w14:paraId="0EADF482">
      <w:r>
        <w:t>Conclui-se que a leitura como (des)aprendizagem do racismo estrutural constitui uma estratégia teórico-metodológica relevante para a educação antirracista. Ao reconhecer os estudantes como sujeitos ativos da produção do conhecimento, a intervenção desloca o foco da transmissão pontual de conteúdo para a construção de processos formativos baseados no diálogo, na escuta e na ação crítica. Defende-se, portanto, que a implementação da Lei nº 10.639/2003 não se limite a atividades comemorativas ou à Semana da Consciência Negra, mas integre permanentemente o currículo, o planejamento pedagógico e as relações cotidianas da comunidade escolar.</w:t>
      </w:r>
    </w:p>
    <w:p w14:paraId="4289D22E">
      <w:pPr>
        <w:spacing w:before="80" w:after="240"/>
        <w:ind w:firstLine="0"/>
      </w:pPr>
      <w:r>
        <w:rPr>
          <w:rFonts w:cs="Arial"/>
          <w:b/>
          <w:sz w:val="22"/>
        </w:rPr>
        <w:t xml:space="preserve">Palavras-chave: </w:t>
      </w:r>
      <w:r>
        <w:rPr>
          <w:rFonts w:cs="Arial"/>
          <w:sz w:val="22"/>
        </w:rPr>
        <w:t>Racismo estrutural; (Des)aprendizagem; Educação antirracista; Protagonismo discente; Lei nº 10.639/2003.</w:t>
      </w:r>
    </w:p>
    <w:p w14:paraId="3C50F5F8">
      <w:pPr>
        <w:pStyle w:val="2"/>
        <w:numPr>
          <w:ilvl w:val="0"/>
          <w:numId w:val="0"/>
        </w:numPr>
      </w:pPr>
      <w:r>
        <w:t>REFERÊNCIAS</w:t>
      </w:r>
    </w:p>
    <w:p w14:paraId="08F8FAF9">
      <w:pPr>
        <w:pStyle w:val="31"/>
      </w:pPr>
      <w:r>
        <w:t>ADICHIE, Chimamanda Ngozi. O perigo de uma história única. São Paulo: Companhia das Letras, 2019.</w:t>
      </w:r>
    </w:p>
    <w:p w14:paraId="52C0C7B2">
      <w:pPr>
        <w:pStyle w:val="31"/>
      </w:pPr>
      <w:r>
        <w:t>ALMEIDA, Silvio Luiz de. Racismo estrutural. São Paulo: Jandaíra, 2021.</w:t>
      </w:r>
    </w:p>
    <w:p w14:paraId="48B9DC11">
      <w:pPr>
        <w:pStyle w:val="31"/>
      </w:pPr>
      <w:r>
        <w:t>BRASIL. Lei nº 10.639, de 9 de janeiro de 2003. Altera a Lei nº 9.394, de 20 de dezembro de 1996, para incluir no currículo oficial da Rede de Ensino a obrigatoriedade da temática “História e Cultura Afro-Brasileira”. Brasília, DF: Presidência da República, 2003.</w:t>
      </w:r>
    </w:p>
    <w:p w14:paraId="1D3C614D">
      <w:pPr>
        <w:pStyle w:val="31"/>
      </w:pPr>
      <w:r>
        <w:t>CAVALLEIRO, Eliane. Do silêncio do lar ao silêncio escolar: racismo, preconceito e discriminação na educação infantil. São Paulo: Contexto, 2017.</w:t>
      </w:r>
    </w:p>
    <w:p w14:paraId="306D9ABE">
      <w:pPr>
        <w:pStyle w:val="31"/>
      </w:pPr>
      <w:r>
        <w:t>FREIRE, Paulo. A importância do ato de ler: em três artigos que se completam. 31. ed. São Paulo: Cortez, 1990.</w:t>
      </w:r>
    </w:p>
    <w:p w14:paraId="77D647B5">
      <w:pPr>
        <w:pStyle w:val="31"/>
      </w:pPr>
      <w:r>
        <w:t>GOMES, Nilma Lino. O movimento negro educador: saberes construídos nas lutas por emancipação. Petrópolis: Vozes, 2017.</w:t>
      </w:r>
    </w:p>
    <w:p w14:paraId="7289DF0A">
      <w:pPr>
        <w:pStyle w:val="31"/>
      </w:pPr>
      <w:r>
        <w:t>HOOKS, bell. Ensinando a transgredir: a educação como prática da liberdade. São Paulo: WMF Martins Fontes, 2017.</w:t>
      </w:r>
    </w:p>
    <w:p w14:paraId="2E3E7F3D">
      <w:pPr>
        <w:pStyle w:val="31"/>
      </w:pPr>
      <w:r>
        <w:t>MIGNOLO, Walter D. La opción de-colonial: desprendimiento y apertura. Un manifiesto y un caso. Tabula Rasa, Bogotá, n. 8, p. 243-281, 2008.</w:t>
      </w:r>
    </w:p>
    <w:p w14:paraId="2EA423B3">
      <w:pPr>
        <w:pStyle w:val="31"/>
      </w:pPr>
      <w:r>
        <w:t>MUNANGA, Kabengele. Superando o racismo na escola. 3. ed. Brasília, DF: Ministério da Educação, 2001.</w:t>
      </w:r>
    </w:p>
    <w:p w14:paraId="69FA4A04">
      <w:pPr>
        <w:pStyle w:val="31"/>
      </w:pPr>
      <w:r>
        <w:t>SANTOS, Jilvan Batista Alves dos. A leitura como (des)aprendizagem do racismo estrutural de estudantes do ensino médio de uma escola pública em Recife – Pernambuco: uma intervenção pedagógica para a Semana da Consciência Negra. 2023. Dissertação (Mestrado Profissional de Sociologia em Rede Nacional) – Fundação Joaquim Nabuco, Recife, 2023.</w:t>
      </w:r>
    </w:p>
    <w:p w14:paraId="41F659F0">
      <w:pPr>
        <w:pStyle w:val="31"/>
      </w:pPr>
      <w:r>
        <w:t>SPENGLER, Maria Laura Pozzobon; DEBUS, Eliane Santana Dias. Personagens negras nos livros de imagens do Programa Nacional Biblioteca da Escola (PNBE) para a Educação Infantil. Roteiro, Joaçaba, v. 44, n. 1, p. 1-20, 2019.</w:t>
      </w:r>
    </w:p>
    <w:p w14:paraId="2C8CC670"/>
    <w:sectPr>
      <w:headerReference r:id="rId6" w:type="first"/>
      <w:headerReference r:id="rId5" w:type="default"/>
      <w:pgSz w:w="11906" w:h="16838"/>
      <w:pgMar w:top="1417" w:right="1701" w:bottom="1417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6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62950709"/>
      <w:docPartObj>
        <w:docPartGallery w:val="AutoText"/>
      </w:docPartObj>
    </w:sdtPr>
    <w:sdtContent>
      <w:p w14:paraId="66A3393B">
        <w:pPr>
          <w:pStyle w:val="1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5A499A28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39630926"/>
      <w:docPartObj>
        <w:docPartGallery w:val="AutoText"/>
      </w:docPartObj>
    </w:sdtPr>
    <w:sdtContent>
      <w:p w14:paraId="1F4B34EF">
        <w:pPr>
          <w:pStyle w:val="17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0ECCC8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B2982"/>
    <w:multiLevelType w:val="multilevel"/>
    <w:tmpl w:val="0F6B2982"/>
    <w:lvl w:ilvl="0" w:tentative="0">
      <w:start w:val="1"/>
      <w:numFmt w:val="decimal"/>
      <w:pStyle w:val="53"/>
      <w:lvlText w:val="3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6635AB"/>
    <w:multiLevelType w:val="multilevel"/>
    <w:tmpl w:val="186635AB"/>
    <w:lvl w:ilvl="0" w:tentative="0">
      <w:start w:val="1"/>
      <w:numFmt w:val="decimal"/>
      <w:pStyle w:val="50"/>
      <w:lvlText w:val="2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C37D5F"/>
    <w:multiLevelType w:val="multilevel"/>
    <w:tmpl w:val="3AC37D5F"/>
    <w:lvl w:ilvl="0" w:tentative="0">
      <w:start w:val="1"/>
      <w:numFmt w:val="decimal"/>
      <w:pStyle w:val="56"/>
      <w:lvlText w:val="5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25439E"/>
    <w:multiLevelType w:val="multilevel"/>
    <w:tmpl w:val="4D25439E"/>
    <w:lvl w:ilvl="0" w:tentative="0">
      <w:start w:val="1"/>
      <w:numFmt w:val="decimal"/>
      <w:pStyle w:val="54"/>
      <w:lvlText w:val="4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C30539"/>
    <w:multiLevelType w:val="multilevel"/>
    <w:tmpl w:val="5BC30539"/>
    <w:lvl w:ilvl="0" w:tentative="0">
      <w:start w:val="1"/>
      <w:numFmt w:val="decimal"/>
      <w:pStyle w:val="38"/>
      <w:lvlText w:val="1.%1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2534E9"/>
    <w:multiLevelType w:val="multilevel"/>
    <w:tmpl w:val="762534E9"/>
    <w:lvl w:ilvl="0" w:tentative="0">
      <w:start w:val="1"/>
      <w:numFmt w:val="decimal"/>
      <w:pStyle w:val="2"/>
      <w:lvlText w:val="%1."/>
      <w:lvlJc w:val="left"/>
      <w:pPr>
        <w:ind w:left="3338" w:hanging="360"/>
      </w:pPr>
    </w:lvl>
    <w:lvl w:ilvl="1" w:tentative="0">
      <w:start w:val="1"/>
      <w:numFmt w:val="decimal"/>
      <w:isLgl/>
      <w:lvlText w:val="%1.%2"/>
      <w:lvlJc w:val="left"/>
      <w:pPr>
        <w:ind w:left="3383" w:hanging="405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3698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4058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4058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4418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4418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78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4778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C78"/>
    <w:rsid w:val="000049B9"/>
    <w:rsid w:val="00005EB1"/>
    <w:rsid w:val="0001008C"/>
    <w:rsid w:val="0001043E"/>
    <w:rsid w:val="0001134A"/>
    <w:rsid w:val="00011C36"/>
    <w:rsid w:val="0001517D"/>
    <w:rsid w:val="00020EEF"/>
    <w:rsid w:val="0002494D"/>
    <w:rsid w:val="00024E59"/>
    <w:rsid w:val="00026C78"/>
    <w:rsid w:val="000322F7"/>
    <w:rsid w:val="00032C60"/>
    <w:rsid w:val="0003376A"/>
    <w:rsid w:val="00034D38"/>
    <w:rsid w:val="000354D3"/>
    <w:rsid w:val="00045C25"/>
    <w:rsid w:val="00052B73"/>
    <w:rsid w:val="00053AEE"/>
    <w:rsid w:val="00075704"/>
    <w:rsid w:val="00076923"/>
    <w:rsid w:val="000818AA"/>
    <w:rsid w:val="000840A9"/>
    <w:rsid w:val="00085877"/>
    <w:rsid w:val="00085E54"/>
    <w:rsid w:val="00086526"/>
    <w:rsid w:val="00091AFB"/>
    <w:rsid w:val="00093FF1"/>
    <w:rsid w:val="00097854"/>
    <w:rsid w:val="000A1C15"/>
    <w:rsid w:val="000A61A0"/>
    <w:rsid w:val="000A7E6C"/>
    <w:rsid w:val="000B0B16"/>
    <w:rsid w:val="000B1D89"/>
    <w:rsid w:val="000B54FC"/>
    <w:rsid w:val="000B6592"/>
    <w:rsid w:val="000B6C85"/>
    <w:rsid w:val="000C1001"/>
    <w:rsid w:val="000C66D6"/>
    <w:rsid w:val="000D0A2E"/>
    <w:rsid w:val="000D1A4A"/>
    <w:rsid w:val="000D69A8"/>
    <w:rsid w:val="000D6E03"/>
    <w:rsid w:val="000D79F3"/>
    <w:rsid w:val="000E27BA"/>
    <w:rsid w:val="000E508F"/>
    <w:rsid w:val="000E6D5F"/>
    <w:rsid w:val="000E6E26"/>
    <w:rsid w:val="000F130A"/>
    <w:rsid w:val="000F448F"/>
    <w:rsid w:val="000F4B00"/>
    <w:rsid w:val="000F6FD1"/>
    <w:rsid w:val="001052B3"/>
    <w:rsid w:val="001064FB"/>
    <w:rsid w:val="00111644"/>
    <w:rsid w:val="00115A1C"/>
    <w:rsid w:val="001224AE"/>
    <w:rsid w:val="00127853"/>
    <w:rsid w:val="00134AC3"/>
    <w:rsid w:val="00145652"/>
    <w:rsid w:val="0015035C"/>
    <w:rsid w:val="00150F0B"/>
    <w:rsid w:val="00156E28"/>
    <w:rsid w:val="001646E8"/>
    <w:rsid w:val="00166509"/>
    <w:rsid w:val="00167551"/>
    <w:rsid w:val="00171906"/>
    <w:rsid w:val="00176378"/>
    <w:rsid w:val="0018225E"/>
    <w:rsid w:val="00183A5C"/>
    <w:rsid w:val="0018556A"/>
    <w:rsid w:val="0018670A"/>
    <w:rsid w:val="001879BF"/>
    <w:rsid w:val="00192BBC"/>
    <w:rsid w:val="00194911"/>
    <w:rsid w:val="001A1397"/>
    <w:rsid w:val="001A653B"/>
    <w:rsid w:val="001A6760"/>
    <w:rsid w:val="001A6A00"/>
    <w:rsid w:val="001A6B19"/>
    <w:rsid w:val="001A7678"/>
    <w:rsid w:val="001B012E"/>
    <w:rsid w:val="001D02EE"/>
    <w:rsid w:val="001D10BC"/>
    <w:rsid w:val="001D6270"/>
    <w:rsid w:val="001E146D"/>
    <w:rsid w:val="001E2858"/>
    <w:rsid w:val="001E784D"/>
    <w:rsid w:val="001E7CAC"/>
    <w:rsid w:val="001F34F3"/>
    <w:rsid w:val="001F3802"/>
    <w:rsid w:val="001F3C4C"/>
    <w:rsid w:val="001F44F7"/>
    <w:rsid w:val="001F50A9"/>
    <w:rsid w:val="001F7E61"/>
    <w:rsid w:val="0020208D"/>
    <w:rsid w:val="00202B02"/>
    <w:rsid w:val="00204D7F"/>
    <w:rsid w:val="0020611A"/>
    <w:rsid w:val="002114F3"/>
    <w:rsid w:val="00213E33"/>
    <w:rsid w:val="002150DE"/>
    <w:rsid w:val="002154C3"/>
    <w:rsid w:val="00220AAB"/>
    <w:rsid w:val="002232C6"/>
    <w:rsid w:val="00226AF3"/>
    <w:rsid w:val="00235FA1"/>
    <w:rsid w:val="00236195"/>
    <w:rsid w:val="002458F6"/>
    <w:rsid w:val="0025264B"/>
    <w:rsid w:val="00255D4A"/>
    <w:rsid w:val="0025692A"/>
    <w:rsid w:val="00257105"/>
    <w:rsid w:val="00261476"/>
    <w:rsid w:val="002622D1"/>
    <w:rsid w:val="00263823"/>
    <w:rsid w:val="0026634C"/>
    <w:rsid w:val="00266812"/>
    <w:rsid w:val="00266D6C"/>
    <w:rsid w:val="00270A79"/>
    <w:rsid w:val="002723A7"/>
    <w:rsid w:val="00280755"/>
    <w:rsid w:val="00282765"/>
    <w:rsid w:val="00284800"/>
    <w:rsid w:val="002907A8"/>
    <w:rsid w:val="0029422E"/>
    <w:rsid w:val="00294A6C"/>
    <w:rsid w:val="002971EA"/>
    <w:rsid w:val="00297B68"/>
    <w:rsid w:val="002A0937"/>
    <w:rsid w:val="002A394B"/>
    <w:rsid w:val="002A43D2"/>
    <w:rsid w:val="002A4C1A"/>
    <w:rsid w:val="002B2A47"/>
    <w:rsid w:val="002B6DD7"/>
    <w:rsid w:val="002C16BD"/>
    <w:rsid w:val="002C3310"/>
    <w:rsid w:val="002D0457"/>
    <w:rsid w:val="002D0E4A"/>
    <w:rsid w:val="002D1698"/>
    <w:rsid w:val="002D4B21"/>
    <w:rsid w:val="002E1B26"/>
    <w:rsid w:val="002E2DB0"/>
    <w:rsid w:val="002F19B1"/>
    <w:rsid w:val="002F2969"/>
    <w:rsid w:val="002F363E"/>
    <w:rsid w:val="002F691F"/>
    <w:rsid w:val="00303FA4"/>
    <w:rsid w:val="003079E5"/>
    <w:rsid w:val="00310BC7"/>
    <w:rsid w:val="00310F6F"/>
    <w:rsid w:val="00313345"/>
    <w:rsid w:val="003143C3"/>
    <w:rsid w:val="003152BE"/>
    <w:rsid w:val="003155CB"/>
    <w:rsid w:val="00320CC3"/>
    <w:rsid w:val="003249AD"/>
    <w:rsid w:val="00331B62"/>
    <w:rsid w:val="00331E09"/>
    <w:rsid w:val="0033688F"/>
    <w:rsid w:val="00337ED1"/>
    <w:rsid w:val="00341851"/>
    <w:rsid w:val="003433C8"/>
    <w:rsid w:val="00352182"/>
    <w:rsid w:val="003566F1"/>
    <w:rsid w:val="003615BC"/>
    <w:rsid w:val="00361809"/>
    <w:rsid w:val="00363D5D"/>
    <w:rsid w:val="003648AF"/>
    <w:rsid w:val="00366178"/>
    <w:rsid w:val="00366E44"/>
    <w:rsid w:val="00373071"/>
    <w:rsid w:val="003747AE"/>
    <w:rsid w:val="00375F14"/>
    <w:rsid w:val="0038395B"/>
    <w:rsid w:val="00385D6F"/>
    <w:rsid w:val="00387141"/>
    <w:rsid w:val="00390689"/>
    <w:rsid w:val="003914C7"/>
    <w:rsid w:val="00391ABC"/>
    <w:rsid w:val="003925B0"/>
    <w:rsid w:val="00395BBF"/>
    <w:rsid w:val="003A1861"/>
    <w:rsid w:val="003A1BA1"/>
    <w:rsid w:val="003A621B"/>
    <w:rsid w:val="003A7DCE"/>
    <w:rsid w:val="003B1C02"/>
    <w:rsid w:val="003C0DA6"/>
    <w:rsid w:val="003C194A"/>
    <w:rsid w:val="003C3A17"/>
    <w:rsid w:val="003D10B7"/>
    <w:rsid w:val="003D27E8"/>
    <w:rsid w:val="003D3436"/>
    <w:rsid w:val="003D3EF9"/>
    <w:rsid w:val="003D5A06"/>
    <w:rsid w:val="003E243C"/>
    <w:rsid w:val="003E3F0E"/>
    <w:rsid w:val="003E533B"/>
    <w:rsid w:val="003E6E34"/>
    <w:rsid w:val="003E7797"/>
    <w:rsid w:val="003F004F"/>
    <w:rsid w:val="003F269D"/>
    <w:rsid w:val="003F3C05"/>
    <w:rsid w:val="003F5A4D"/>
    <w:rsid w:val="003F5FA9"/>
    <w:rsid w:val="003F69E8"/>
    <w:rsid w:val="003F6C59"/>
    <w:rsid w:val="00400093"/>
    <w:rsid w:val="00407710"/>
    <w:rsid w:val="00407AA7"/>
    <w:rsid w:val="00412049"/>
    <w:rsid w:val="0041677D"/>
    <w:rsid w:val="004218FE"/>
    <w:rsid w:val="00423CDF"/>
    <w:rsid w:val="004240F6"/>
    <w:rsid w:val="00424FD3"/>
    <w:rsid w:val="004254F8"/>
    <w:rsid w:val="004305B4"/>
    <w:rsid w:val="0043510B"/>
    <w:rsid w:val="004379B8"/>
    <w:rsid w:val="004434F8"/>
    <w:rsid w:val="004466E3"/>
    <w:rsid w:val="00446BCA"/>
    <w:rsid w:val="00451D13"/>
    <w:rsid w:val="00462B8B"/>
    <w:rsid w:val="004637F9"/>
    <w:rsid w:val="00465B69"/>
    <w:rsid w:val="004668AC"/>
    <w:rsid w:val="00467A0E"/>
    <w:rsid w:val="00470DC1"/>
    <w:rsid w:val="004740B9"/>
    <w:rsid w:val="00476BD7"/>
    <w:rsid w:val="00481933"/>
    <w:rsid w:val="004917B0"/>
    <w:rsid w:val="00493318"/>
    <w:rsid w:val="00493866"/>
    <w:rsid w:val="004A21E6"/>
    <w:rsid w:val="004A418B"/>
    <w:rsid w:val="004A4BDD"/>
    <w:rsid w:val="004A53C6"/>
    <w:rsid w:val="004A53D2"/>
    <w:rsid w:val="004A6DF6"/>
    <w:rsid w:val="004A7185"/>
    <w:rsid w:val="004A7A76"/>
    <w:rsid w:val="004B0B18"/>
    <w:rsid w:val="004B35B4"/>
    <w:rsid w:val="004C19D5"/>
    <w:rsid w:val="004C22A1"/>
    <w:rsid w:val="004C386F"/>
    <w:rsid w:val="004C4134"/>
    <w:rsid w:val="004C53C4"/>
    <w:rsid w:val="004D1946"/>
    <w:rsid w:val="004D2606"/>
    <w:rsid w:val="004D681F"/>
    <w:rsid w:val="004E0089"/>
    <w:rsid w:val="004E10AA"/>
    <w:rsid w:val="004E113E"/>
    <w:rsid w:val="004E2420"/>
    <w:rsid w:val="004E319B"/>
    <w:rsid w:val="004F11D3"/>
    <w:rsid w:val="004F1A0E"/>
    <w:rsid w:val="004F6810"/>
    <w:rsid w:val="00502705"/>
    <w:rsid w:val="0050334D"/>
    <w:rsid w:val="00504590"/>
    <w:rsid w:val="005121D9"/>
    <w:rsid w:val="00513EF0"/>
    <w:rsid w:val="0051669F"/>
    <w:rsid w:val="00516ED3"/>
    <w:rsid w:val="005206D1"/>
    <w:rsid w:val="00523D6B"/>
    <w:rsid w:val="0052479B"/>
    <w:rsid w:val="0052737E"/>
    <w:rsid w:val="0052753F"/>
    <w:rsid w:val="00532127"/>
    <w:rsid w:val="005346E5"/>
    <w:rsid w:val="0053588D"/>
    <w:rsid w:val="0053701B"/>
    <w:rsid w:val="00540694"/>
    <w:rsid w:val="00540C0A"/>
    <w:rsid w:val="00540D5E"/>
    <w:rsid w:val="00542450"/>
    <w:rsid w:val="00550A8E"/>
    <w:rsid w:val="00551389"/>
    <w:rsid w:val="0055250D"/>
    <w:rsid w:val="00555264"/>
    <w:rsid w:val="005561D4"/>
    <w:rsid w:val="00562A77"/>
    <w:rsid w:val="005679A3"/>
    <w:rsid w:val="00570742"/>
    <w:rsid w:val="00572DFF"/>
    <w:rsid w:val="00573738"/>
    <w:rsid w:val="00577FE3"/>
    <w:rsid w:val="00582B9B"/>
    <w:rsid w:val="0058377C"/>
    <w:rsid w:val="00586694"/>
    <w:rsid w:val="0059011B"/>
    <w:rsid w:val="005922EC"/>
    <w:rsid w:val="00596E50"/>
    <w:rsid w:val="00597AA7"/>
    <w:rsid w:val="005A2839"/>
    <w:rsid w:val="005A38C1"/>
    <w:rsid w:val="005A51A5"/>
    <w:rsid w:val="005A5AB0"/>
    <w:rsid w:val="005A6673"/>
    <w:rsid w:val="005B270F"/>
    <w:rsid w:val="005B57DC"/>
    <w:rsid w:val="005C319E"/>
    <w:rsid w:val="005C38C5"/>
    <w:rsid w:val="005C5357"/>
    <w:rsid w:val="005C5DF5"/>
    <w:rsid w:val="005D706C"/>
    <w:rsid w:val="005E08CD"/>
    <w:rsid w:val="005E3680"/>
    <w:rsid w:val="005F0817"/>
    <w:rsid w:val="005F463D"/>
    <w:rsid w:val="00601283"/>
    <w:rsid w:val="00602870"/>
    <w:rsid w:val="00603542"/>
    <w:rsid w:val="00604F6B"/>
    <w:rsid w:val="00610885"/>
    <w:rsid w:val="00612DE2"/>
    <w:rsid w:val="0061585B"/>
    <w:rsid w:val="0061696E"/>
    <w:rsid w:val="00621607"/>
    <w:rsid w:val="00623E31"/>
    <w:rsid w:val="00624387"/>
    <w:rsid w:val="006249E0"/>
    <w:rsid w:val="00631A54"/>
    <w:rsid w:val="00632774"/>
    <w:rsid w:val="00633EE1"/>
    <w:rsid w:val="006373AF"/>
    <w:rsid w:val="00646B47"/>
    <w:rsid w:val="006510BC"/>
    <w:rsid w:val="00651A71"/>
    <w:rsid w:val="00654683"/>
    <w:rsid w:val="00654AEE"/>
    <w:rsid w:val="006559E8"/>
    <w:rsid w:val="006578CE"/>
    <w:rsid w:val="00660C4D"/>
    <w:rsid w:val="00660CE1"/>
    <w:rsid w:val="00660D20"/>
    <w:rsid w:val="00662A8C"/>
    <w:rsid w:val="00662FC1"/>
    <w:rsid w:val="00663CB2"/>
    <w:rsid w:val="00675C50"/>
    <w:rsid w:val="00675EAE"/>
    <w:rsid w:val="00677BC9"/>
    <w:rsid w:val="00682D35"/>
    <w:rsid w:val="00683203"/>
    <w:rsid w:val="00685C33"/>
    <w:rsid w:val="00691FF6"/>
    <w:rsid w:val="00693F8B"/>
    <w:rsid w:val="006941AC"/>
    <w:rsid w:val="0069531D"/>
    <w:rsid w:val="0069746D"/>
    <w:rsid w:val="006A191B"/>
    <w:rsid w:val="006A1A81"/>
    <w:rsid w:val="006A3854"/>
    <w:rsid w:val="006A5091"/>
    <w:rsid w:val="006A6EA7"/>
    <w:rsid w:val="006B166A"/>
    <w:rsid w:val="006B555E"/>
    <w:rsid w:val="006B56E4"/>
    <w:rsid w:val="006B5C7F"/>
    <w:rsid w:val="006C001B"/>
    <w:rsid w:val="006C1D45"/>
    <w:rsid w:val="006C3C46"/>
    <w:rsid w:val="006C4F7D"/>
    <w:rsid w:val="006C670C"/>
    <w:rsid w:val="006D0355"/>
    <w:rsid w:val="006D0A6B"/>
    <w:rsid w:val="006D0B91"/>
    <w:rsid w:val="006D2578"/>
    <w:rsid w:val="006D3FAE"/>
    <w:rsid w:val="006D4236"/>
    <w:rsid w:val="006E408F"/>
    <w:rsid w:val="006F0B22"/>
    <w:rsid w:val="006F1B8A"/>
    <w:rsid w:val="006F2D1D"/>
    <w:rsid w:val="006F6BE4"/>
    <w:rsid w:val="007001F6"/>
    <w:rsid w:val="0070106B"/>
    <w:rsid w:val="00704456"/>
    <w:rsid w:val="00705331"/>
    <w:rsid w:val="0070544D"/>
    <w:rsid w:val="0070575B"/>
    <w:rsid w:val="00705EB4"/>
    <w:rsid w:val="00706F61"/>
    <w:rsid w:val="00710D35"/>
    <w:rsid w:val="0071177A"/>
    <w:rsid w:val="007212B9"/>
    <w:rsid w:val="00721D46"/>
    <w:rsid w:val="00721D9D"/>
    <w:rsid w:val="00724E40"/>
    <w:rsid w:val="00733FBF"/>
    <w:rsid w:val="0073447F"/>
    <w:rsid w:val="0073566E"/>
    <w:rsid w:val="00741D5E"/>
    <w:rsid w:val="007436CD"/>
    <w:rsid w:val="00745001"/>
    <w:rsid w:val="00745133"/>
    <w:rsid w:val="00746262"/>
    <w:rsid w:val="007534CE"/>
    <w:rsid w:val="00754E32"/>
    <w:rsid w:val="00756E99"/>
    <w:rsid w:val="0075766D"/>
    <w:rsid w:val="0076113B"/>
    <w:rsid w:val="0077108D"/>
    <w:rsid w:val="007735D7"/>
    <w:rsid w:val="007737B1"/>
    <w:rsid w:val="00780E68"/>
    <w:rsid w:val="007814B7"/>
    <w:rsid w:val="00781D7C"/>
    <w:rsid w:val="00785111"/>
    <w:rsid w:val="00787240"/>
    <w:rsid w:val="0079107E"/>
    <w:rsid w:val="0079749F"/>
    <w:rsid w:val="007A02A3"/>
    <w:rsid w:val="007A3161"/>
    <w:rsid w:val="007A3FE1"/>
    <w:rsid w:val="007A4D9C"/>
    <w:rsid w:val="007A5E2B"/>
    <w:rsid w:val="007A6C59"/>
    <w:rsid w:val="007B0219"/>
    <w:rsid w:val="007B258C"/>
    <w:rsid w:val="007B2AD4"/>
    <w:rsid w:val="007B4E8A"/>
    <w:rsid w:val="007B75F1"/>
    <w:rsid w:val="007C1511"/>
    <w:rsid w:val="007C3A30"/>
    <w:rsid w:val="007C51BA"/>
    <w:rsid w:val="007C5F57"/>
    <w:rsid w:val="007C6F2B"/>
    <w:rsid w:val="007D01A0"/>
    <w:rsid w:val="007D08E7"/>
    <w:rsid w:val="007D1230"/>
    <w:rsid w:val="007D6EFA"/>
    <w:rsid w:val="007E4645"/>
    <w:rsid w:val="007E5377"/>
    <w:rsid w:val="007F0A83"/>
    <w:rsid w:val="007F1634"/>
    <w:rsid w:val="00800B45"/>
    <w:rsid w:val="008076A0"/>
    <w:rsid w:val="00810A0F"/>
    <w:rsid w:val="00811676"/>
    <w:rsid w:val="008141D4"/>
    <w:rsid w:val="00822D2A"/>
    <w:rsid w:val="008277C2"/>
    <w:rsid w:val="00827E34"/>
    <w:rsid w:val="00832DAA"/>
    <w:rsid w:val="00833096"/>
    <w:rsid w:val="0083757C"/>
    <w:rsid w:val="00842A2D"/>
    <w:rsid w:val="008435B7"/>
    <w:rsid w:val="00844F2F"/>
    <w:rsid w:val="0084697F"/>
    <w:rsid w:val="00846AE6"/>
    <w:rsid w:val="0084731B"/>
    <w:rsid w:val="00851C62"/>
    <w:rsid w:val="00852957"/>
    <w:rsid w:val="00863817"/>
    <w:rsid w:val="00867156"/>
    <w:rsid w:val="00871302"/>
    <w:rsid w:val="008721B5"/>
    <w:rsid w:val="00874445"/>
    <w:rsid w:val="0087707D"/>
    <w:rsid w:val="00896C06"/>
    <w:rsid w:val="0089778B"/>
    <w:rsid w:val="008A08F9"/>
    <w:rsid w:val="008A65AF"/>
    <w:rsid w:val="008A765E"/>
    <w:rsid w:val="008B396D"/>
    <w:rsid w:val="008B5A93"/>
    <w:rsid w:val="008C052C"/>
    <w:rsid w:val="008C34FA"/>
    <w:rsid w:val="008D1010"/>
    <w:rsid w:val="008D1E8D"/>
    <w:rsid w:val="008D62D5"/>
    <w:rsid w:val="008E6B93"/>
    <w:rsid w:val="008F262F"/>
    <w:rsid w:val="008F2849"/>
    <w:rsid w:val="009040A4"/>
    <w:rsid w:val="00904375"/>
    <w:rsid w:val="009063DC"/>
    <w:rsid w:val="0091015C"/>
    <w:rsid w:val="00911F96"/>
    <w:rsid w:val="00913CAA"/>
    <w:rsid w:val="00915AA8"/>
    <w:rsid w:val="0091746D"/>
    <w:rsid w:val="009204FF"/>
    <w:rsid w:val="00921210"/>
    <w:rsid w:val="00921D66"/>
    <w:rsid w:val="009233EE"/>
    <w:rsid w:val="009265FF"/>
    <w:rsid w:val="00927A84"/>
    <w:rsid w:val="009308CA"/>
    <w:rsid w:val="00932203"/>
    <w:rsid w:val="00936454"/>
    <w:rsid w:val="00936ED8"/>
    <w:rsid w:val="00941A48"/>
    <w:rsid w:val="0094548F"/>
    <w:rsid w:val="00946165"/>
    <w:rsid w:val="009465BD"/>
    <w:rsid w:val="00950E8B"/>
    <w:rsid w:val="00956A0C"/>
    <w:rsid w:val="009640C3"/>
    <w:rsid w:val="009716DA"/>
    <w:rsid w:val="00973E51"/>
    <w:rsid w:val="00975E15"/>
    <w:rsid w:val="009769ED"/>
    <w:rsid w:val="009820EB"/>
    <w:rsid w:val="00982458"/>
    <w:rsid w:val="009864E9"/>
    <w:rsid w:val="00992E97"/>
    <w:rsid w:val="00993BF3"/>
    <w:rsid w:val="009958D9"/>
    <w:rsid w:val="00997623"/>
    <w:rsid w:val="009A0776"/>
    <w:rsid w:val="009A4E7B"/>
    <w:rsid w:val="009A6AED"/>
    <w:rsid w:val="009B624E"/>
    <w:rsid w:val="009C2BB2"/>
    <w:rsid w:val="009C4627"/>
    <w:rsid w:val="009D3897"/>
    <w:rsid w:val="009D641A"/>
    <w:rsid w:val="009D7026"/>
    <w:rsid w:val="009D7D76"/>
    <w:rsid w:val="009E2562"/>
    <w:rsid w:val="009E4FA7"/>
    <w:rsid w:val="009F2ACF"/>
    <w:rsid w:val="009F74C3"/>
    <w:rsid w:val="00A011E2"/>
    <w:rsid w:val="00A02521"/>
    <w:rsid w:val="00A02FC0"/>
    <w:rsid w:val="00A033A9"/>
    <w:rsid w:val="00A05D0D"/>
    <w:rsid w:val="00A151A1"/>
    <w:rsid w:val="00A15D47"/>
    <w:rsid w:val="00A1673F"/>
    <w:rsid w:val="00A271ED"/>
    <w:rsid w:val="00A3275F"/>
    <w:rsid w:val="00A3573A"/>
    <w:rsid w:val="00A35B77"/>
    <w:rsid w:val="00A37473"/>
    <w:rsid w:val="00A40618"/>
    <w:rsid w:val="00A5085F"/>
    <w:rsid w:val="00A50E83"/>
    <w:rsid w:val="00A52E95"/>
    <w:rsid w:val="00A57D8B"/>
    <w:rsid w:val="00A600D7"/>
    <w:rsid w:val="00A653B1"/>
    <w:rsid w:val="00A65DA1"/>
    <w:rsid w:val="00A662F8"/>
    <w:rsid w:val="00A71A81"/>
    <w:rsid w:val="00A7256B"/>
    <w:rsid w:val="00A75376"/>
    <w:rsid w:val="00A76858"/>
    <w:rsid w:val="00A76E19"/>
    <w:rsid w:val="00A8242D"/>
    <w:rsid w:val="00A8252F"/>
    <w:rsid w:val="00A82A4B"/>
    <w:rsid w:val="00A90519"/>
    <w:rsid w:val="00A91DB5"/>
    <w:rsid w:val="00A92B87"/>
    <w:rsid w:val="00A94FAF"/>
    <w:rsid w:val="00A97509"/>
    <w:rsid w:val="00AA02DB"/>
    <w:rsid w:val="00AA2714"/>
    <w:rsid w:val="00AA290B"/>
    <w:rsid w:val="00AB7277"/>
    <w:rsid w:val="00AC1E9C"/>
    <w:rsid w:val="00AC2637"/>
    <w:rsid w:val="00AD4632"/>
    <w:rsid w:val="00AD70CE"/>
    <w:rsid w:val="00AE0011"/>
    <w:rsid w:val="00AE0C6C"/>
    <w:rsid w:val="00AE394E"/>
    <w:rsid w:val="00AE7ECD"/>
    <w:rsid w:val="00AF009E"/>
    <w:rsid w:val="00AF1E1F"/>
    <w:rsid w:val="00AF5FD4"/>
    <w:rsid w:val="00AF6EEB"/>
    <w:rsid w:val="00AF72C6"/>
    <w:rsid w:val="00B01645"/>
    <w:rsid w:val="00B045EE"/>
    <w:rsid w:val="00B07BF5"/>
    <w:rsid w:val="00B10A01"/>
    <w:rsid w:val="00B10C1A"/>
    <w:rsid w:val="00B2065C"/>
    <w:rsid w:val="00B20D44"/>
    <w:rsid w:val="00B21E81"/>
    <w:rsid w:val="00B31D30"/>
    <w:rsid w:val="00B330BA"/>
    <w:rsid w:val="00B3527A"/>
    <w:rsid w:val="00B44B77"/>
    <w:rsid w:val="00B44EF4"/>
    <w:rsid w:val="00B46089"/>
    <w:rsid w:val="00B46E42"/>
    <w:rsid w:val="00B50A02"/>
    <w:rsid w:val="00B50F4A"/>
    <w:rsid w:val="00B51536"/>
    <w:rsid w:val="00B52595"/>
    <w:rsid w:val="00B5366D"/>
    <w:rsid w:val="00B55A82"/>
    <w:rsid w:val="00B56893"/>
    <w:rsid w:val="00B64A83"/>
    <w:rsid w:val="00B66082"/>
    <w:rsid w:val="00B6754E"/>
    <w:rsid w:val="00B7097B"/>
    <w:rsid w:val="00B70D8D"/>
    <w:rsid w:val="00B71B38"/>
    <w:rsid w:val="00B725CF"/>
    <w:rsid w:val="00B729B2"/>
    <w:rsid w:val="00B8353C"/>
    <w:rsid w:val="00B85883"/>
    <w:rsid w:val="00B9189E"/>
    <w:rsid w:val="00B93A36"/>
    <w:rsid w:val="00BA1303"/>
    <w:rsid w:val="00BA144B"/>
    <w:rsid w:val="00BA7F71"/>
    <w:rsid w:val="00BB1081"/>
    <w:rsid w:val="00BB1491"/>
    <w:rsid w:val="00BB1E50"/>
    <w:rsid w:val="00BB4E38"/>
    <w:rsid w:val="00BB4F6B"/>
    <w:rsid w:val="00BB7722"/>
    <w:rsid w:val="00BC5CE1"/>
    <w:rsid w:val="00BC7F27"/>
    <w:rsid w:val="00BD152A"/>
    <w:rsid w:val="00BD1B29"/>
    <w:rsid w:val="00BD263F"/>
    <w:rsid w:val="00BD6437"/>
    <w:rsid w:val="00BD7DB8"/>
    <w:rsid w:val="00BE0BCB"/>
    <w:rsid w:val="00BE2DE5"/>
    <w:rsid w:val="00BE3224"/>
    <w:rsid w:val="00BE3978"/>
    <w:rsid w:val="00BE529F"/>
    <w:rsid w:val="00C002FB"/>
    <w:rsid w:val="00C01556"/>
    <w:rsid w:val="00C024CA"/>
    <w:rsid w:val="00C03241"/>
    <w:rsid w:val="00C04C21"/>
    <w:rsid w:val="00C05E8C"/>
    <w:rsid w:val="00C05FE5"/>
    <w:rsid w:val="00C12E13"/>
    <w:rsid w:val="00C12E94"/>
    <w:rsid w:val="00C16225"/>
    <w:rsid w:val="00C1763B"/>
    <w:rsid w:val="00C201D0"/>
    <w:rsid w:val="00C22F9F"/>
    <w:rsid w:val="00C23AED"/>
    <w:rsid w:val="00C353AB"/>
    <w:rsid w:val="00C37AEB"/>
    <w:rsid w:val="00C41250"/>
    <w:rsid w:val="00C44ED8"/>
    <w:rsid w:val="00C477B6"/>
    <w:rsid w:val="00C5057A"/>
    <w:rsid w:val="00C50866"/>
    <w:rsid w:val="00C54F94"/>
    <w:rsid w:val="00C5773D"/>
    <w:rsid w:val="00C61FB4"/>
    <w:rsid w:val="00C711CC"/>
    <w:rsid w:val="00C76555"/>
    <w:rsid w:val="00C770F3"/>
    <w:rsid w:val="00C8177E"/>
    <w:rsid w:val="00C8185D"/>
    <w:rsid w:val="00C85D32"/>
    <w:rsid w:val="00C90362"/>
    <w:rsid w:val="00C92757"/>
    <w:rsid w:val="00C96562"/>
    <w:rsid w:val="00C97523"/>
    <w:rsid w:val="00CA24A2"/>
    <w:rsid w:val="00CA40E7"/>
    <w:rsid w:val="00CB7251"/>
    <w:rsid w:val="00CD418A"/>
    <w:rsid w:val="00CD66FD"/>
    <w:rsid w:val="00CE299C"/>
    <w:rsid w:val="00CE3210"/>
    <w:rsid w:val="00CE4337"/>
    <w:rsid w:val="00CE534C"/>
    <w:rsid w:val="00CE7EF7"/>
    <w:rsid w:val="00CF1BA7"/>
    <w:rsid w:val="00CF33B8"/>
    <w:rsid w:val="00CF42C3"/>
    <w:rsid w:val="00CF48E5"/>
    <w:rsid w:val="00D00DCD"/>
    <w:rsid w:val="00D02EEC"/>
    <w:rsid w:val="00D06845"/>
    <w:rsid w:val="00D075DF"/>
    <w:rsid w:val="00D14AB6"/>
    <w:rsid w:val="00D17CEE"/>
    <w:rsid w:val="00D21159"/>
    <w:rsid w:val="00D220E7"/>
    <w:rsid w:val="00D259FE"/>
    <w:rsid w:val="00D27FFA"/>
    <w:rsid w:val="00D3000C"/>
    <w:rsid w:val="00D3039A"/>
    <w:rsid w:val="00D32A00"/>
    <w:rsid w:val="00D340B3"/>
    <w:rsid w:val="00D4060C"/>
    <w:rsid w:val="00D41844"/>
    <w:rsid w:val="00D42459"/>
    <w:rsid w:val="00D45A72"/>
    <w:rsid w:val="00D4695D"/>
    <w:rsid w:val="00D538B9"/>
    <w:rsid w:val="00D54448"/>
    <w:rsid w:val="00D54AF2"/>
    <w:rsid w:val="00D55879"/>
    <w:rsid w:val="00D572A1"/>
    <w:rsid w:val="00D60AFA"/>
    <w:rsid w:val="00D61248"/>
    <w:rsid w:val="00D62E4E"/>
    <w:rsid w:val="00D65413"/>
    <w:rsid w:val="00D67721"/>
    <w:rsid w:val="00D70F46"/>
    <w:rsid w:val="00D75E3E"/>
    <w:rsid w:val="00D75E3F"/>
    <w:rsid w:val="00D832EC"/>
    <w:rsid w:val="00D84F72"/>
    <w:rsid w:val="00D86277"/>
    <w:rsid w:val="00D87B23"/>
    <w:rsid w:val="00D9011C"/>
    <w:rsid w:val="00D90946"/>
    <w:rsid w:val="00D9225C"/>
    <w:rsid w:val="00D925BB"/>
    <w:rsid w:val="00DA1EA9"/>
    <w:rsid w:val="00DA3A72"/>
    <w:rsid w:val="00DA54D2"/>
    <w:rsid w:val="00DA598E"/>
    <w:rsid w:val="00DB2F97"/>
    <w:rsid w:val="00DB73AF"/>
    <w:rsid w:val="00DC12CC"/>
    <w:rsid w:val="00DC302A"/>
    <w:rsid w:val="00DD1166"/>
    <w:rsid w:val="00DD259E"/>
    <w:rsid w:val="00DD290A"/>
    <w:rsid w:val="00DE06A5"/>
    <w:rsid w:val="00DF01DD"/>
    <w:rsid w:val="00DF16FB"/>
    <w:rsid w:val="00DF1B90"/>
    <w:rsid w:val="00E0007D"/>
    <w:rsid w:val="00E02D62"/>
    <w:rsid w:val="00E04962"/>
    <w:rsid w:val="00E11CD7"/>
    <w:rsid w:val="00E1221E"/>
    <w:rsid w:val="00E13C80"/>
    <w:rsid w:val="00E201D7"/>
    <w:rsid w:val="00E32E16"/>
    <w:rsid w:val="00E36F16"/>
    <w:rsid w:val="00E3756D"/>
    <w:rsid w:val="00E410AE"/>
    <w:rsid w:val="00E41A65"/>
    <w:rsid w:val="00E41B94"/>
    <w:rsid w:val="00E4288C"/>
    <w:rsid w:val="00E5167A"/>
    <w:rsid w:val="00E61115"/>
    <w:rsid w:val="00E619A5"/>
    <w:rsid w:val="00E61AF2"/>
    <w:rsid w:val="00E61B0C"/>
    <w:rsid w:val="00E62A17"/>
    <w:rsid w:val="00E663E3"/>
    <w:rsid w:val="00E673AF"/>
    <w:rsid w:val="00E77353"/>
    <w:rsid w:val="00E8072F"/>
    <w:rsid w:val="00E93950"/>
    <w:rsid w:val="00E972E7"/>
    <w:rsid w:val="00EA0196"/>
    <w:rsid w:val="00EA1E3F"/>
    <w:rsid w:val="00EA2DE7"/>
    <w:rsid w:val="00EA30F8"/>
    <w:rsid w:val="00EB271E"/>
    <w:rsid w:val="00EB389C"/>
    <w:rsid w:val="00EB66FC"/>
    <w:rsid w:val="00EB7B18"/>
    <w:rsid w:val="00EC5E9A"/>
    <w:rsid w:val="00EC7A93"/>
    <w:rsid w:val="00ED3DBE"/>
    <w:rsid w:val="00EE0EE9"/>
    <w:rsid w:val="00EE7709"/>
    <w:rsid w:val="00EF22C4"/>
    <w:rsid w:val="00EF26E5"/>
    <w:rsid w:val="00F02E89"/>
    <w:rsid w:val="00F05DD3"/>
    <w:rsid w:val="00F121BD"/>
    <w:rsid w:val="00F14A57"/>
    <w:rsid w:val="00F20A97"/>
    <w:rsid w:val="00F20D66"/>
    <w:rsid w:val="00F21ADB"/>
    <w:rsid w:val="00F21CE6"/>
    <w:rsid w:val="00F25DA9"/>
    <w:rsid w:val="00F36E24"/>
    <w:rsid w:val="00F37329"/>
    <w:rsid w:val="00F42C69"/>
    <w:rsid w:val="00F45956"/>
    <w:rsid w:val="00F47FF2"/>
    <w:rsid w:val="00F510F4"/>
    <w:rsid w:val="00F51D40"/>
    <w:rsid w:val="00F6114D"/>
    <w:rsid w:val="00F634AD"/>
    <w:rsid w:val="00F63848"/>
    <w:rsid w:val="00F65828"/>
    <w:rsid w:val="00F70738"/>
    <w:rsid w:val="00F71C78"/>
    <w:rsid w:val="00F7310D"/>
    <w:rsid w:val="00F73AF1"/>
    <w:rsid w:val="00F7469E"/>
    <w:rsid w:val="00F76DE7"/>
    <w:rsid w:val="00F773BF"/>
    <w:rsid w:val="00F80A81"/>
    <w:rsid w:val="00F84137"/>
    <w:rsid w:val="00F85C4E"/>
    <w:rsid w:val="00F8688D"/>
    <w:rsid w:val="00F91AD2"/>
    <w:rsid w:val="00F962C4"/>
    <w:rsid w:val="00FA195B"/>
    <w:rsid w:val="00FA771A"/>
    <w:rsid w:val="00FB0A8B"/>
    <w:rsid w:val="00FB1973"/>
    <w:rsid w:val="00FB1B0D"/>
    <w:rsid w:val="00FB2952"/>
    <w:rsid w:val="00FB5ED3"/>
    <w:rsid w:val="00FB786F"/>
    <w:rsid w:val="00FC07C9"/>
    <w:rsid w:val="00FC497F"/>
    <w:rsid w:val="00FC7D58"/>
    <w:rsid w:val="00FD2459"/>
    <w:rsid w:val="00FD4B4D"/>
    <w:rsid w:val="00FD654E"/>
    <w:rsid w:val="00FE015E"/>
    <w:rsid w:val="00FE08C6"/>
    <w:rsid w:val="00FE2DAB"/>
    <w:rsid w:val="00FE6E96"/>
    <w:rsid w:val="03F2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numPr>
        <w:ilvl w:val="0"/>
        <w:numId w:val="1"/>
      </w:numPr>
      <w:spacing w:before="240" w:after="240"/>
      <w:ind w:left="0" w:firstLine="0"/>
      <w:jc w:val="left"/>
      <w:outlineLvl w:val="0"/>
    </w:pPr>
    <w:rPr>
      <w:rFonts w:eastAsiaTheme="majorEastAsia" w:cstheme="majorBidi"/>
      <w:b/>
      <w:caps/>
      <w:color w:val="000000" w:themeColor="text1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40" w:after="240"/>
      <w:ind w:firstLine="0"/>
      <w:outlineLvl w:val="1"/>
    </w:pPr>
    <w:rPr>
      <w:rFonts w:eastAsiaTheme="majorEastAsia" w:cstheme="majorBidi"/>
      <w:b/>
      <w:color w:val="000000" w:themeColor="text1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40" w:after="240"/>
      <w:ind w:firstLine="0"/>
      <w:outlineLvl w:val="2"/>
    </w:pPr>
    <w:rPr>
      <w:rFonts w:eastAsiaTheme="majorEastAsia" w:cstheme="majorBidi"/>
      <w:b/>
      <w:color w:val="000000" w:themeColor="text1"/>
      <w:szCs w:val="24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6">
    <w:name w:val="heading 6"/>
    <w:basedOn w:val="1"/>
    <w:next w:val="1"/>
    <w:link w:val="47"/>
    <w:semiHidden/>
    <w:unhideWhenUsed/>
    <w:qFormat/>
    <w:uiPriority w:val="9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qFormat/>
    <w:uiPriority w:val="22"/>
    <w:rPr>
      <w:b/>
      <w:bCs/>
    </w:rPr>
  </w:style>
  <w:style w:type="character" w:styleId="10">
    <w:name w:val="annotation reference"/>
    <w:basedOn w:val="7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3">
    <w:name w:val="annotation text"/>
    <w:basedOn w:val="1"/>
    <w:link w:val="4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4">
    <w:name w:val="table of figures"/>
    <w:basedOn w:val="1"/>
    <w:next w:val="1"/>
    <w:unhideWhenUsed/>
    <w:qFormat/>
    <w:uiPriority w:val="99"/>
  </w:style>
  <w:style w:type="paragraph" w:styleId="15">
    <w:name w:val="Title"/>
    <w:basedOn w:val="1"/>
    <w:next w:val="1"/>
    <w:link w:val="24"/>
    <w:qFormat/>
    <w:uiPriority w:val="10"/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1440"/>
      <w:jc w:val="left"/>
    </w:pPr>
    <w:rPr>
      <w:rFonts w:eastAsia="Times New Roman" w:cs="Times New Roman"/>
      <w:spacing w:val="20"/>
      <w:szCs w:val="24"/>
      <w:lang w:eastAsia="pt-BR"/>
    </w:rPr>
  </w:style>
  <w:style w:type="paragraph" w:styleId="17">
    <w:name w:val="header"/>
    <w:basedOn w:val="1"/>
    <w:link w:val="34"/>
    <w:unhideWhenUsed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8">
    <w:name w:val="footer"/>
    <w:basedOn w:val="1"/>
    <w:link w:val="35"/>
    <w:unhideWhenUsed/>
    <w:qFormat/>
    <w:uiPriority w:val="99"/>
    <w:pPr>
      <w:tabs>
        <w:tab w:val="center" w:pos="4252"/>
        <w:tab w:val="right" w:pos="8504"/>
      </w:tabs>
      <w:spacing w:line="240" w:lineRule="auto"/>
    </w:pPr>
  </w:style>
  <w:style w:type="paragraph" w:styleId="19">
    <w:name w:val="caption"/>
    <w:basedOn w:val="1"/>
    <w:next w:val="1"/>
    <w:unhideWhenUsed/>
    <w:qFormat/>
    <w:uiPriority w:val="35"/>
    <w:pPr>
      <w:spacing w:after="120"/>
      <w:ind w:firstLine="0"/>
    </w:pPr>
    <w:rPr>
      <w:iCs/>
      <w:color w:val="000000" w:themeColor="text1"/>
      <w:szCs w:val="18"/>
      <w14:textFill>
        <w14:solidFill>
          <w14:schemeClr w14:val="tx1"/>
        </w14:solidFill>
      </w14:textFill>
    </w:rPr>
  </w:style>
  <w:style w:type="paragraph" w:styleId="20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21">
    <w:name w:val="Balloon Text"/>
    <w:basedOn w:val="1"/>
    <w:link w:val="44"/>
    <w:semiHidden/>
    <w:unhideWhenUsed/>
    <w:uiPriority w:val="99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22">
    <w:name w:val="Subtitle"/>
    <w:basedOn w:val="1"/>
    <w:next w:val="1"/>
    <w:link w:val="46"/>
    <w:qFormat/>
    <w:uiPriority w:val="11"/>
    <w:pPr>
      <w:spacing w:after="160"/>
      <w:ind w:firstLine="709"/>
    </w:pPr>
    <w:rPr>
      <w:rFonts w:asciiTheme="minorHAnsi" w:hAnsiTheme="minorHAnsi" w:eastAsiaTheme="minorEastAsia"/>
      <w:color w:val="595959" w:themeColor="text1" w:themeTint="A6"/>
      <w:spacing w:val="15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toc 1"/>
    <w:basedOn w:val="1"/>
    <w:next w:val="1"/>
    <w:autoRedefine/>
    <w:unhideWhenUsed/>
    <w:qFormat/>
    <w:uiPriority w:val="39"/>
    <w:pPr>
      <w:spacing w:after="100"/>
    </w:pPr>
  </w:style>
  <w:style w:type="character" w:customStyle="1" w:styleId="24">
    <w:name w:val="Título Char"/>
    <w:basedOn w:val="7"/>
    <w:link w:val="15"/>
    <w:qFormat/>
    <w:uiPriority w:val="10"/>
  </w:style>
  <w:style w:type="character" w:customStyle="1" w:styleId="25">
    <w:name w:val="Título 3 Char"/>
    <w:basedOn w:val="7"/>
    <w:link w:val="4"/>
    <w:qFormat/>
    <w:uiPriority w:val="9"/>
    <w:rPr>
      <w:rFonts w:ascii="Arial" w:hAnsi="Arial" w:eastAsiaTheme="majorEastAsia" w:cstheme="majorBidi"/>
      <w:b/>
      <w:color w:val="000000" w:themeColor="text1"/>
      <w:sz w:val="24"/>
      <w:szCs w:val="24"/>
      <w14:textFill>
        <w14:solidFill>
          <w14:schemeClr w14:val="tx1"/>
        </w14:solidFill>
      </w14:textFill>
    </w:rPr>
  </w:style>
  <w:style w:type="character" w:customStyle="1" w:styleId="26">
    <w:name w:val="Título 4 Char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customStyle="1" w:styleId="27">
    <w:name w:val="Título 1 Char"/>
    <w:basedOn w:val="7"/>
    <w:link w:val="2"/>
    <w:qFormat/>
    <w:uiPriority w:val="9"/>
    <w:rPr>
      <w:rFonts w:ascii="Arial" w:hAnsi="Arial" w:eastAsiaTheme="majorEastAsia" w:cstheme="majorBidi"/>
      <w:b/>
      <w:caps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Título 2 Char"/>
    <w:basedOn w:val="7"/>
    <w:link w:val="3"/>
    <w:qFormat/>
    <w:uiPriority w:val="9"/>
    <w:rPr>
      <w:rFonts w:ascii="Arial" w:hAnsi="Arial" w:eastAsiaTheme="majorEastAsia" w:cstheme="majorBidi"/>
      <w:b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paragraph" w:customStyle="1" w:styleId="30">
    <w:name w:val="TOC Heading"/>
    <w:basedOn w:val="2"/>
    <w:next w:val="1"/>
    <w:unhideWhenUsed/>
    <w:qFormat/>
    <w:uiPriority w:val="39"/>
    <w:pPr>
      <w:numPr>
        <w:ilvl w:val="0"/>
        <w:numId w:val="0"/>
      </w:numPr>
      <w:spacing w:after="0" w:line="259" w:lineRule="auto"/>
      <w:outlineLvl w:val="9"/>
    </w:pPr>
    <w:rPr>
      <w:rFonts w:asciiTheme="majorHAnsi" w:hAnsiTheme="majorHAnsi"/>
      <w:b w:val="0"/>
      <w:caps w:val="0"/>
      <w:color w:val="2E75B6" w:themeColor="accent1" w:themeShade="BF"/>
      <w:sz w:val="32"/>
      <w:lang w:eastAsia="pt-BR"/>
    </w:rPr>
  </w:style>
  <w:style w:type="paragraph" w:customStyle="1" w:styleId="31">
    <w:name w:val="RefABNT"/>
    <w:basedOn w:val="1"/>
    <w:link w:val="32"/>
    <w:qFormat/>
    <w:uiPriority w:val="0"/>
    <w:pPr>
      <w:spacing w:before="240" w:after="360" w:line="240" w:lineRule="auto"/>
      <w:ind w:firstLine="0"/>
    </w:pPr>
  </w:style>
  <w:style w:type="character" w:customStyle="1" w:styleId="32">
    <w:name w:val="RefABNT Char"/>
    <w:basedOn w:val="7"/>
    <w:link w:val="31"/>
    <w:qFormat/>
    <w:uiPriority w:val="0"/>
    <w:rPr>
      <w:rFonts w:ascii="Arial" w:hAnsi="Arial"/>
      <w:sz w:val="24"/>
    </w:rPr>
  </w:style>
  <w:style w:type="paragraph" w:styleId="33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customStyle="1" w:styleId="34">
    <w:name w:val="Cabeçalho Char"/>
    <w:basedOn w:val="7"/>
    <w:link w:val="17"/>
    <w:uiPriority w:val="99"/>
    <w:rPr>
      <w:rFonts w:ascii="Arial" w:hAnsi="Arial"/>
      <w:sz w:val="24"/>
    </w:rPr>
  </w:style>
  <w:style w:type="character" w:customStyle="1" w:styleId="35">
    <w:name w:val="Rodapé Char"/>
    <w:basedOn w:val="7"/>
    <w:link w:val="18"/>
    <w:qFormat/>
    <w:uiPriority w:val="99"/>
    <w:rPr>
      <w:rFonts w:ascii="Arial" w:hAnsi="Arial"/>
      <w:sz w:val="24"/>
    </w:rPr>
  </w:style>
  <w:style w:type="paragraph" w:customStyle="1" w:styleId="36">
    <w:name w:val="Recuo 4cm"/>
    <w:basedOn w:val="1"/>
    <w:link w:val="37"/>
    <w:uiPriority w:val="0"/>
    <w:pPr>
      <w:spacing w:before="360" w:after="360" w:line="240" w:lineRule="auto"/>
      <w:ind w:left="2268" w:firstLine="142"/>
    </w:pPr>
    <w:rPr>
      <w:sz w:val="20"/>
    </w:rPr>
  </w:style>
  <w:style w:type="character" w:customStyle="1" w:styleId="37">
    <w:name w:val="Recuo 4cm Char"/>
    <w:basedOn w:val="7"/>
    <w:link w:val="36"/>
    <w:qFormat/>
    <w:uiPriority w:val="0"/>
    <w:rPr>
      <w:rFonts w:ascii="Arial" w:hAnsi="Arial"/>
      <w:sz w:val="20"/>
    </w:rPr>
  </w:style>
  <w:style w:type="paragraph" w:customStyle="1" w:styleId="38">
    <w:name w:val="1.1"/>
    <w:basedOn w:val="3"/>
    <w:next w:val="1"/>
    <w:link w:val="39"/>
    <w:qFormat/>
    <w:uiPriority w:val="0"/>
    <w:pPr>
      <w:numPr>
        <w:ilvl w:val="0"/>
        <w:numId w:val="2"/>
      </w:numPr>
      <w:ind w:left="0" w:firstLine="0"/>
    </w:pPr>
  </w:style>
  <w:style w:type="character" w:customStyle="1" w:styleId="39">
    <w:name w:val="1.1 Char"/>
    <w:basedOn w:val="28"/>
    <w:link w:val="38"/>
    <w:qFormat/>
    <w:uiPriority w:val="0"/>
    <w:rPr>
      <w:rFonts w:ascii="Arial" w:hAnsi="Arial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customStyle="1" w:styleId="40">
    <w:name w:val="RefDeco"/>
    <w:basedOn w:val="1"/>
    <w:link w:val="41"/>
    <w:qFormat/>
    <w:uiPriority w:val="0"/>
    <w:pPr>
      <w:spacing w:before="240" w:after="360" w:line="240" w:lineRule="auto"/>
      <w:ind w:firstLine="0"/>
    </w:pPr>
  </w:style>
  <w:style w:type="character" w:customStyle="1" w:styleId="41">
    <w:name w:val="RefDeco Char"/>
    <w:basedOn w:val="7"/>
    <w:link w:val="40"/>
    <w:qFormat/>
    <w:uiPriority w:val="0"/>
    <w:rPr>
      <w:rFonts w:ascii="Arial" w:hAnsi="Arial"/>
      <w:sz w:val="24"/>
    </w:rPr>
  </w:style>
  <w:style w:type="character" w:customStyle="1" w:styleId="42">
    <w:name w:val="styles_wordwithsynonyms__8m9z7"/>
    <w:basedOn w:val="7"/>
    <w:qFormat/>
    <w:uiPriority w:val="0"/>
  </w:style>
  <w:style w:type="character" w:customStyle="1" w:styleId="43">
    <w:name w:val="Texto de comentário Char"/>
    <w:basedOn w:val="7"/>
    <w:link w:val="13"/>
    <w:semiHidden/>
    <w:qFormat/>
    <w:uiPriority w:val="99"/>
    <w:rPr>
      <w:rFonts w:ascii="Arial" w:hAnsi="Arial"/>
      <w:sz w:val="20"/>
      <w:szCs w:val="20"/>
    </w:rPr>
  </w:style>
  <w:style w:type="character" w:customStyle="1" w:styleId="44">
    <w:name w:val="Texto de balão Char"/>
    <w:basedOn w:val="7"/>
    <w:link w:val="21"/>
    <w:semiHidden/>
    <w:uiPriority w:val="99"/>
    <w:rPr>
      <w:rFonts w:ascii="Segoe UI" w:hAnsi="Segoe UI" w:cs="Segoe UI"/>
      <w:sz w:val="18"/>
      <w:szCs w:val="18"/>
    </w:rPr>
  </w:style>
  <w:style w:type="paragraph" w:customStyle="1" w:styleId="45">
    <w:name w:val="Subtítulo1"/>
    <w:next w:val="22"/>
    <w:autoRedefine/>
    <w:qFormat/>
    <w:uiPriority w:val="0"/>
    <w:pPr>
      <w:spacing w:before="120" w:after="120" w:line="240" w:lineRule="auto"/>
      <w:ind w:left="1276" w:hanging="360"/>
    </w:pPr>
    <w:rPr>
      <w:rFonts w:ascii="Times New Roman" w:hAnsi="Times New Roman" w:eastAsia="Times New Roman" w:cstheme="minorBidi"/>
      <w:b/>
      <w:sz w:val="24"/>
      <w:szCs w:val="24"/>
      <w:lang w:val="pt-BR" w:eastAsia="en-US" w:bidi="ar-SA"/>
    </w:rPr>
  </w:style>
  <w:style w:type="character" w:customStyle="1" w:styleId="46">
    <w:name w:val="Subtítulo Char"/>
    <w:basedOn w:val="7"/>
    <w:link w:val="22"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Título 6 Char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</w:rPr>
  </w:style>
  <w:style w:type="paragraph" w:customStyle="1" w:styleId="48">
    <w:name w:val="Dedicatória"/>
    <w:basedOn w:val="1"/>
    <w:qFormat/>
    <w:uiPriority w:val="0"/>
    <w:pPr>
      <w:widowControl w:val="0"/>
      <w:ind w:left="3969" w:firstLine="1440"/>
      <w:jc w:val="right"/>
    </w:pPr>
    <w:rPr>
      <w:rFonts w:ascii="Comic Sans MS" w:hAnsi="Comic Sans MS" w:eastAsia="Times New Roman" w:cs="Times New Roman"/>
      <w:szCs w:val="20"/>
      <w:lang w:eastAsia="pt-BR"/>
    </w:rPr>
  </w:style>
  <w:style w:type="paragraph" w:customStyle="1" w:styleId="49">
    <w:name w:val="Agradecimentos"/>
    <w:basedOn w:val="1"/>
    <w:qFormat/>
    <w:uiPriority w:val="0"/>
    <w:pPr>
      <w:widowControl w:val="0"/>
      <w:spacing w:after="120"/>
      <w:ind w:firstLine="1701"/>
    </w:pPr>
    <w:rPr>
      <w:rFonts w:eastAsia="Times New Roman" w:cs="Times New Roman"/>
      <w:szCs w:val="20"/>
      <w:lang w:eastAsia="pt-BR"/>
    </w:rPr>
  </w:style>
  <w:style w:type="paragraph" w:customStyle="1" w:styleId="50">
    <w:name w:val="2.1"/>
    <w:basedOn w:val="3"/>
    <w:next w:val="1"/>
    <w:link w:val="51"/>
    <w:qFormat/>
    <w:uiPriority w:val="0"/>
    <w:pPr>
      <w:numPr>
        <w:ilvl w:val="0"/>
        <w:numId w:val="3"/>
      </w:numPr>
      <w:ind w:left="0" w:firstLine="0"/>
    </w:pPr>
  </w:style>
  <w:style w:type="character" w:customStyle="1" w:styleId="51">
    <w:name w:val="2.1 Char"/>
    <w:basedOn w:val="28"/>
    <w:link w:val="50"/>
    <w:qFormat/>
    <w:uiPriority w:val="0"/>
    <w:rPr>
      <w:rFonts w:ascii="Arial" w:hAnsi="Arial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customStyle="1" w:styleId="52">
    <w:name w:val="Revision"/>
    <w:hidden/>
    <w:semiHidden/>
    <w:qFormat/>
    <w:uiPriority w:val="99"/>
    <w:pPr>
      <w:spacing w:after="0" w:line="240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customStyle="1" w:styleId="53">
    <w:name w:val="3.1"/>
    <w:basedOn w:val="50"/>
    <w:next w:val="1"/>
    <w:link w:val="55"/>
    <w:qFormat/>
    <w:uiPriority w:val="0"/>
    <w:pPr>
      <w:numPr>
        <w:numId w:val="4"/>
      </w:numPr>
      <w:ind w:left="0" w:firstLine="0"/>
    </w:pPr>
  </w:style>
  <w:style w:type="paragraph" w:customStyle="1" w:styleId="54">
    <w:name w:val="4.1"/>
    <w:basedOn w:val="3"/>
    <w:next w:val="1"/>
    <w:link w:val="57"/>
    <w:qFormat/>
    <w:uiPriority w:val="0"/>
    <w:pPr>
      <w:numPr>
        <w:ilvl w:val="0"/>
        <w:numId w:val="5"/>
      </w:numPr>
      <w:ind w:left="0" w:firstLine="0"/>
    </w:pPr>
  </w:style>
  <w:style w:type="character" w:customStyle="1" w:styleId="55">
    <w:name w:val="3.1 Char"/>
    <w:basedOn w:val="51"/>
    <w:link w:val="53"/>
    <w:uiPriority w:val="0"/>
    <w:rPr>
      <w:rFonts w:ascii="Arial" w:hAnsi="Arial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customStyle="1" w:styleId="56">
    <w:name w:val="5.1"/>
    <w:basedOn w:val="3"/>
    <w:next w:val="1"/>
    <w:link w:val="58"/>
    <w:qFormat/>
    <w:uiPriority w:val="0"/>
    <w:pPr>
      <w:numPr>
        <w:ilvl w:val="0"/>
        <w:numId w:val="6"/>
      </w:numPr>
      <w:ind w:left="0" w:firstLine="0"/>
    </w:pPr>
  </w:style>
  <w:style w:type="character" w:customStyle="1" w:styleId="57">
    <w:name w:val="4.1 Char"/>
    <w:basedOn w:val="28"/>
    <w:link w:val="54"/>
    <w:uiPriority w:val="0"/>
    <w:rPr>
      <w:rFonts w:ascii="Arial" w:hAnsi="Arial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58">
    <w:name w:val="5.1 Char"/>
    <w:basedOn w:val="28"/>
    <w:link w:val="56"/>
    <w:uiPriority w:val="0"/>
    <w:rPr>
      <w:rFonts w:ascii="Arial" w:hAnsi="Arial" w:eastAsiaTheme="majorEastAsia" w:cstheme="majorBidi"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customStyle="1" w:styleId="59">
    <w:name w:val="CitDirLong"/>
    <w:basedOn w:val="1"/>
    <w:link w:val="60"/>
    <w:qFormat/>
    <w:uiPriority w:val="0"/>
    <w:pPr>
      <w:spacing w:before="240" w:after="240" w:line="240" w:lineRule="auto"/>
      <w:ind w:left="2268" w:firstLine="142"/>
    </w:pPr>
    <w:rPr>
      <w:rFonts w:cs="Arial"/>
      <w:sz w:val="20"/>
      <w:szCs w:val="24"/>
    </w:rPr>
  </w:style>
  <w:style w:type="character" w:customStyle="1" w:styleId="60">
    <w:name w:val="CitDirLong Char"/>
    <w:basedOn w:val="7"/>
    <w:link w:val="59"/>
    <w:qFormat/>
    <w:uiPriority w:val="0"/>
    <w:rPr>
      <w:rFonts w:ascii="Arial" w:hAnsi="Arial" w:cs="Arial"/>
      <w:sz w:val="20"/>
      <w:szCs w:val="24"/>
    </w:rPr>
  </w:style>
  <w:style w:type="paragraph" w:customStyle="1" w:styleId="61">
    <w:name w:val="TextoResumo"/>
    <w:basedOn w:val="1"/>
    <w:next w:val="1"/>
    <w:link w:val="62"/>
    <w:qFormat/>
    <w:uiPriority w:val="0"/>
    <w:pPr>
      <w:autoSpaceDE w:val="0"/>
      <w:autoSpaceDN w:val="0"/>
      <w:adjustRightInd w:val="0"/>
      <w:spacing w:line="240" w:lineRule="auto"/>
      <w:ind w:firstLine="0"/>
    </w:pPr>
    <w:rPr>
      <w:rFonts w:cs="Arial"/>
      <w:color w:val="000000" w:themeColor="text1"/>
      <w:szCs w:val="24"/>
      <w14:textFill>
        <w14:solidFill>
          <w14:schemeClr w14:val="tx1"/>
        </w14:solidFill>
      </w14:textFill>
    </w:rPr>
  </w:style>
  <w:style w:type="character" w:customStyle="1" w:styleId="62">
    <w:name w:val="TextoResumo Char"/>
    <w:basedOn w:val="7"/>
    <w:link w:val="61"/>
    <w:uiPriority w:val="0"/>
    <w:rPr>
      <w:rFonts w:ascii="Arial" w:hAnsi="Arial" w:cs="Arial"/>
      <w:color w:val="000000" w:themeColor="text1"/>
      <w:sz w:val="24"/>
      <w:szCs w:val="24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1578F-7D25-442D-BCCF-5C68B38D9F9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1087</Words>
  <Characters>5875</Characters>
  <Lines>48</Lines>
  <Paragraphs>13</Paragraphs>
  <TotalTime>1016</TotalTime>
  <ScaleCrop>false</ScaleCrop>
  <LinksUpToDate>false</LinksUpToDate>
  <CharactersWithSpaces>6949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2022-01-30T20:52:00Z</dcterms:created>
  <dc:creator>DECOPC</dc:creator>
  <cp:lastModifiedBy>Educação</cp:lastModifiedBy>
  <dcterms:modified xsi:type="dcterms:W3CDTF">2026-07-30T22:54:38Z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1046-12.1.0.27458</vt:lpwstr>
  </property>
  <property fmtid="{D5CDD505-2E9C-101B-9397-08002B2CF9AE}" pid="3" name="ICV">
    <vt:lpwstr>17708130609342E2A08B825E726AD965_13</vt:lpwstr>
  </property>
</Properties>
</file>