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4E66" w14:textId="415EDE4B" w:rsidR="00145190" w:rsidRDefault="00F56A33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CONVERSATÓRIO 5 – DESCOLONIZAR E INTERCULTURALIZAR AS UNIVERSIDADES:AÇÕES AFIRMATIVAS, JUSTIÇA EPISTÊMICA E TRANSFORMAÇÃO DAS CIÊNCIAS</w:t>
      </w:r>
    </w:p>
    <w:p w14:paraId="65657889" w14:textId="77777777" w:rsidR="00145190" w:rsidRDefault="00145190">
      <w:pPr>
        <w:keepLines/>
        <w:widowControl w:val="0"/>
        <w:spacing w:line="240" w:lineRule="auto"/>
        <w:rPr>
          <w:sz w:val="24"/>
          <w:szCs w:val="24"/>
        </w:rPr>
      </w:pPr>
    </w:p>
    <w:p w14:paraId="00CDFBB6" w14:textId="77777777" w:rsidR="00145190" w:rsidRDefault="0014519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93E23B8" w14:textId="0C395E1C" w:rsidR="00145190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spellStart"/>
      <w:r w:rsidR="006E1898">
        <w:rPr>
          <w:b/>
          <w:bCs/>
          <w:sz w:val="24"/>
          <w:szCs w:val="24"/>
        </w:rPr>
        <w:t>Suleando</w:t>
      </w:r>
      <w:proofErr w:type="spellEnd"/>
      <w:r w:rsidR="006E1898">
        <w:rPr>
          <w:b/>
          <w:bCs/>
          <w:sz w:val="24"/>
          <w:szCs w:val="24"/>
        </w:rPr>
        <w:t xml:space="preserve"> </w:t>
      </w:r>
      <w:r w:rsidR="00FA78D3">
        <w:rPr>
          <w:b/>
          <w:bCs/>
          <w:sz w:val="24"/>
          <w:szCs w:val="24"/>
        </w:rPr>
        <w:t>a categoria gramatical de</w:t>
      </w:r>
      <w:r w:rsidR="006E1898">
        <w:rPr>
          <w:b/>
          <w:bCs/>
          <w:sz w:val="24"/>
          <w:szCs w:val="24"/>
        </w:rPr>
        <w:t xml:space="preserve"> gênero</w:t>
      </w:r>
    </w:p>
    <w:p w14:paraId="2D21CCF1" w14:textId="77777777" w:rsidR="00145190" w:rsidRDefault="00145190">
      <w:pPr>
        <w:keepLines/>
        <w:widowControl w:val="0"/>
        <w:spacing w:line="240" w:lineRule="auto"/>
        <w:rPr>
          <w:sz w:val="24"/>
          <w:szCs w:val="24"/>
        </w:rPr>
      </w:pPr>
    </w:p>
    <w:p w14:paraId="61D0DBB9" w14:textId="77777777" w:rsidR="006E1898" w:rsidRDefault="006E1898">
      <w:pPr>
        <w:keepLines/>
        <w:widowControl w:val="0"/>
        <w:spacing w:line="240" w:lineRule="auto"/>
        <w:rPr>
          <w:sz w:val="24"/>
          <w:szCs w:val="24"/>
        </w:rPr>
      </w:pPr>
    </w:p>
    <w:p w14:paraId="533408DC" w14:textId="38D80D60" w:rsidR="00145190" w:rsidRDefault="00F56A33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Lua Camilo Nogueira, UNESP</w:t>
      </w:r>
      <w:r w:rsidR="00FD5155">
        <w:rPr>
          <w:sz w:val="24"/>
          <w:szCs w:val="24"/>
        </w:rPr>
        <w:t>-</w:t>
      </w:r>
      <w:proofErr w:type="spellStart"/>
      <w:r w:rsidR="003917FA">
        <w:rPr>
          <w:sz w:val="24"/>
          <w:szCs w:val="24"/>
        </w:rPr>
        <w:t>Ibilce</w:t>
      </w:r>
      <w:proofErr w:type="spellEnd"/>
      <w:r>
        <w:rPr>
          <w:sz w:val="24"/>
          <w:szCs w:val="24"/>
        </w:rPr>
        <w:t>, lc.nogueira@unesp.br</w:t>
      </w:r>
    </w:p>
    <w:p w14:paraId="7B348B3F" w14:textId="77777777" w:rsidR="00145190" w:rsidRDefault="00145190">
      <w:pPr>
        <w:keepLines/>
        <w:widowControl w:val="0"/>
        <w:spacing w:line="240" w:lineRule="auto"/>
        <w:rPr>
          <w:sz w:val="24"/>
          <w:szCs w:val="24"/>
        </w:rPr>
      </w:pPr>
    </w:p>
    <w:p w14:paraId="29CEEED1" w14:textId="77777777" w:rsidR="00145190" w:rsidRDefault="00145190">
      <w:pPr>
        <w:keepLines/>
        <w:widowControl w:val="0"/>
        <w:spacing w:line="240" w:lineRule="auto"/>
        <w:rPr>
          <w:sz w:val="24"/>
          <w:szCs w:val="24"/>
        </w:rPr>
      </w:pPr>
    </w:p>
    <w:p w14:paraId="02AC9661" w14:textId="77777777" w:rsidR="00145190" w:rsidRDefault="00145190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3211C189" w14:textId="77777777" w:rsidR="00145190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6E3A6462" w14:textId="77777777" w:rsidR="00145190" w:rsidRDefault="00145190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28517E2F" w14:textId="3C221826" w:rsidR="0010629C" w:rsidRPr="0010629C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t>Na tese</w:t>
      </w:r>
      <w:r w:rsidR="00F8083A">
        <w:rPr>
          <w:sz w:val="24"/>
          <w:szCs w:val="24"/>
        </w:rPr>
        <w:t xml:space="preserve"> intitulada</w:t>
      </w:r>
      <w:r w:rsidRPr="0010629C">
        <w:rPr>
          <w:sz w:val="24"/>
          <w:szCs w:val="24"/>
        </w:rPr>
        <w:t xml:space="preserve"> “A categoria linguística de gênero nas línguas indígenas do Brasil: um estudo tipológico-funcional” (Nogueira, 2026), examinamos a expressão e a codificação do gênero gramatical em 30 línguas </w:t>
      </w:r>
      <w:proofErr w:type="spellStart"/>
      <w:r w:rsidRPr="0010629C">
        <w:rPr>
          <w:sz w:val="24"/>
          <w:szCs w:val="24"/>
        </w:rPr>
        <w:t>pindorâmicas</w:t>
      </w:r>
      <w:proofErr w:type="spellEnd"/>
      <w:r w:rsidRPr="0010629C">
        <w:rPr>
          <w:sz w:val="24"/>
          <w:szCs w:val="24"/>
        </w:rPr>
        <w:t xml:space="preserve"> de diferentes famílias linguísticas. Para esse propósito, consideramos quatro tipos de gênero linguístico (formal, semântico, pragmático e contextual), três classes (feminino, masculino e neutro) e três tipos de codificação (lexical, morfossintática ou fonológica).</w:t>
      </w:r>
    </w:p>
    <w:p w14:paraId="596295DB" w14:textId="21F309E0" w:rsidR="0010629C" w:rsidRPr="0010629C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t>A partir dos dados, organizamos as línguas da amostra em cinco grupos: grupo 1 – cinco línguas dispõem de gênero semântico (</w:t>
      </w:r>
      <w:proofErr w:type="spellStart"/>
      <w:r w:rsidRPr="0010629C">
        <w:rPr>
          <w:sz w:val="24"/>
          <w:szCs w:val="24"/>
        </w:rPr>
        <w:t>ikpeng</w:t>
      </w:r>
      <w:proofErr w:type="spellEnd"/>
      <w:r w:rsidRPr="0010629C">
        <w:rPr>
          <w:sz w:val="24"/>
          <w:szCs w:val="24"/>
        </w:rPr>
        <w:t xml:space="preserve">,  </w:t>
      </w:r>
      <w:proofErr w:type="spellStart"/>
      <w:r w:rsidRPr="0010629C">
        <w:rPr>
          <w:sz w:val="24"/>
          <w:szCs w:val="24"/>
        </w:rPr>
        <w:t>sabanê</w:t>
      </w:r>
      <w:proofErr w:type="spellEnd"/>
      <w:r w:rsidRPr="0010629C">
        <w:rPr>
          <w:sz w:val="24"/>
          <w:szCs w:val="24"/>
        </w:rPr>
        <w:t xml:space="preserve">, </w:t>
      </w:r>
      <w:proofErr w:type="spellStart"/>
      <w:r w:rsidRPr="0010629C">
        <w:rPr>
          <w:sz w:val="24"/>
          <w:szCs w:val="24"/>
        </w:rPr>
        <w:t>shanenawa</w:t>
      </w:r>
      <w:proofErr w:type="spellEnd"/>
      <w:r w:rsidRPr="0010629C">
        <w:rPr>
          <w:sz w:val="24"/>
          <w:szCs w:val="24"/>
        </w:rPr>
        <w:t xml:space="preserve">, </w:t>
      </w:r>
      <w:proofErr w:type="spellStart"/>
      <w:r w:rsidRPr="0010629C">
        <w:rPr>
          <w:sz w:val="24"/>
          <w:szCs w:val="24"/>
        </w:rPr>
        <w:t>maxakalí</w:t>
      </w:r>
      <w:proofErr w:type="spellEnd"/>
      <w:r w:rsidRPr="0010629C">
        <w:rPr>
          <w:sz w:val="24"/>
          <w:szCs w:val="24"/>
        </w:rPr>
        <w:t xml:space="preserve">  e </w:t>
      </w:r>
      <w:proofErr w:type="spellStart"/>
      <w:r w:rsidRPr="0010629C">
        <w:rPr>
          <w:sz w:val="24"/>
          <w:szCs w:val="24"/>
        </w:rPr>
        <w:t>ofayé</w:t>
      </w:r>
      <w:proofErr w:type="spellEnd"/>
      <w:r w:rsidRPr="0010629C">
        <w:rPr>
          <w:sz w:val="24"/>
          <w:szCs w:val="24"/>
        </w:rPr>
        <w:t>); grupo 2 – cinco línguas apresentam gênero semântico e pragmático (</w:t>
      </w:r>
      <w:proofErr w:type="spellStart"/>
      <w:r w:rsidRPr="0010629C">
        <w:rPr>
          <w:sz w:val="24"/>
          <w:szCs w:val="24"/>
        </w:rPr>
        <w:t>parkatejê</w:t>
      </w:r>
      <w:proofErr w:type="spellEnd"/>
      <w:r w:rsidRPr="0010629C">
        <w:rPr>
          <w:sz w:val="24"/>
          <w:szCs w:val="24"/>
        </w:rPr>
        <w:t xml:space="preserve">, </w:t>
      </w:r>
      <w:proofErr w:type="spellStart"/>
      <w:r w:rsidRPr="0010629C">
        <w:rPr>
          <w:sz w:val="24"/>
          <w:szCs w:val="24"/>
        </w:rPr>
        <w:t>dâw</w:t>
      </w:r>
      <w:proofErr w:type="spellEnd"/>
      <w:r w:rsidRPr="0010629C">
        <w:rPr>
          <w:sz w:val="24"/>
          <w:szCs w:val="24"/>
        </w:rPr>
        <w:t xml:space="preserve">, </w:t>
      </w:r>
      <w:proofErr w:type="spellStart"/>
      <w:r w:rsidRPr="0010629C">
        <w:rPr>
          <w:sz w:val="24"/>
          <w:szCs w:val="24"/>
        </w:rPr>
        <w:t>mamaindê</w:t>
      </w:r>
      <w:proofErr w:type="spellEnd"/>
      <w:r w:rsidRPr="0010629C">
        <w:rPr>
          <w:sz w:val="24"/>
          <w:szCs w:val="24"/>
        </w:rPr>
        <w:t xml:space="preserve">, bororo e </w:t>
      </w:r>
      <w:proofErr w:type="spellStart"/>
      <w:r w:rsidRPr="0010629C">
        <w:rPr>
          <w:sz w:val="24"/>
          <w:szCs w:val="24"/>
        </w:rPr>
        <w:t>trumai</w:t>
      </w:r>
      <w:proofErr w:type="spellEnd"/>
      <w:r w:rsidRPr="0010629C">
        <w:rPr>
          <w:sz w:val="24"/>
          <w:szCs w:val="24"/>
        </w:rPr>
        <w:t>); grupo 3 – oito línguas exibem gênero semântico, pragmático e contextual (</w:t>
      </w:r>
      <w:proofErr w:type="spellStart"/>
      <w:r w:rsidRPr="0010629C">
        <w:rPr>
          <w:sz w:val="24"/>
          <w:szCs w:val="24"/>
        </w:rPr>
        <w:t>mehináku</w:t>
      </w:r>
      <w:proofErr w:type="spellEnd"/>
      <w:r w:rsidRPr="0010629C">
        <w:rPr>
          <w:sz w:val="24"/>
          <w:szCs w:val="24"/>
        </w:rPr>
        <w:t xml:space="preserve">, </w:t>
      </w:r>
      <w:proofErr w:type="spellStart"/>
      <w:r w:rsidRPr="0010629C">
        <w:rPr>
          <w:sz w:val="24"/>
          <w:szCs w:val="24"/>
        </w:rPr>
        <w:t>akwe</w:t>
      </w:r>
      <w:proofErr w:type="spellEnd"/>
      <w:r w:rsidRPr="0010629C">
        <w:rPr>
          <w:sz w:val="24"/>
          <w:szCs w:val="24"/>
        </w:rPr>
        <w:t xml:space="preserve">̃-xerente, </w:t>
      </w:r>
      <w:proofErr w:type="spellStart"/>
      <w:r w:rsidRPr="0010629C">
        <w:rPr>
          <w:sz w:val="24"/>
          <w:szCs w:val="24"/>
        </w:rPr>
        <w:t>dzubukuá</w:t>
      </w:r>
      <w:proofErr w:type="spellEnd"/>
      <w:r w:rsidRPr="0010629C">
        <w:rPr>
          <w:sz w:val="24"/>
          <w:szCs w:val="24"/>
        </w:rPr>
        <w:t xml:space="preserve">, </w:t>
      </w:r>
      <w:proofErr w:type="spellStart"/>
      <w:r w:rsidRPr="0010629C">
        <w:rPr>
          <w:sz w:val="24"/>
          <w:szCs w:val="24"/>
        </w:rPr>
        <w:t>kanoê</w:t>
      </w:r>
      <w:proofErr w:type="spellEnd"/>
      <w:r w:rsidRPr="0010629C">
        <w:rPr>
          <w:sz w:val="24"/>
          <w:szCs w:val="24"/>
        </w:rPr>
        <w:t xml:space="preserve">, </w:t>
      </w:r>
      <w:proofErr w:type="spellStart"/>
      <w:r w:rsidRPr="0010629C">
        <w:rPr>
          <w:sz w:val="24"/>
          <w:szCs w:val="24"/>
        </w:rPr>
        <w:t>rikbáktsa</w:t>
      </w:r>
      <w:proofErr w:type="spellEnd"/>
      <w:r w:rsidRPr="0010629C">
        <w:rPr>
          <w:sz w:val="24"/>
          <w:szCs w:val="24"/>
        </w:rPr>
        <w:t xml:space="preserve">, </w:t>
      </w:r>
      <w:proofErr w:type="spellStart"/>
      <w:r w:rsidRPr="0010629C">
        <w:rPr>
          <w:sz w:val="24"/>
          <w:szCs w:val="24"/>
        </w:rPr>
        <w:t>kadiwéu</w:t>
      </w:r>
      <w:proofErr w:type="spellEnd"/>
      <w:r w:rsidRPr="0010629C">
        <w:rPr>
          <w:sz w:val="24"/>
          <w:szCs w:val="24"/>
        </w:rPr>
        <w:t xml:space="preserve">, </w:t>
      </w:r>
      <w:proofErr w:type="spellStart"/>
      <w:r w:rsidRPr="0010629C">
        <w:rPr>
          <w:sz w:val="24"/>
          <w:szCs w:val="24"/>
        </w:rPr>
        <w:t>asurini</w:t>
      </w:r>
      <w:proofErr w:type="spellEnd"/>
      <w:r w:rsidRPr="0010629C">
        <w:rPr>
          <w:sz w:val="24"/>
          <w:szCs w:val="24"/>
        </w:rPr>
        <w:t xml:space="preserve">, </w:t>
      </w:r>
      <w:proofErr w:type="spellStart"/>
      <w:r w:rsidRPr="0010629C">
        <w:rPr>
          <w:sz w:val="24"/>
          <w:szCs w:val="24"/>
        </w:rPr>
        <w:t>tariana</w:t>
      </w:r>
      <w:proofErr w:type="spellEnd"/>
      <w:r w:rsidRPr="0010629C">
        <w:rPr>
          <w:sz w:val="24"/>
          <w:szCs w:val="24"/>
        </w:rPr>
        <w:t>); grupo 4 – quatro línguas dispõem de gênero formal, semântico, pragmático e contextual (</w:t>
      </w:r>
      <w:proofErr w:type="spellStart"/>
      <w:r w:rsidRPr="0010629C">
        <w:rPr>
          <w:sz w:val="24"/>
          <w:szCs w:val="24"/>
        </w:rPr>
        <w:t>wari</w:t>
      </w:r>
      <w:proofErr w:type="spellEnd"/>
      <w:r w:rsidRPr="0010629C">
        <w:rPr>
          <w:sz w:val="24"/>
          <w:szCs w:val="24"/>
        </w:rPr>
        <w:t xml:space="preserve">’, </w:t>
      </w:r>
      <w:proofErr w:type="spellStart"/>
      <w:r w:rsidRPr="0010629C">
        <w:rPr>
          <w:sz w:val="24"/>
          <w:szCs w:val="24"/>
        </w:rPr>
        <w:t>desano</w:t>
      </w:r>
      <w:proofErr w:type="spellEnd"/>
      <w:r w:rsidRPr="0010629C">
        <w:rPr>
          <w:sz w:val="24"/>
          <w:szCs w:val="24"/>
        </w:rPr>
        <w:t xml:space="preserve">, </w:t>
      </w:r>
      <w:proofErr w:type="spellStart"/>
      <w:r w:rsidRPr="0010629C">
        <w:rPr>
          <w:sz w:val="24"/>
          <w:szCs w:val="24"/>
        </w:rPr>
        <w:t>kubeo</w:t>
      </w:r>
      <w:proofErr w:type="spellEnd"/>
      <w:r w:rsidRPr="0010629C">
        <w:rPr>
          <w:sz w:val="24"/>
          <w:szCs w:val="24"/>
        </w:rPr>
        <w:t xml:space="preserve"> e </w:t>
      </w:r>
      <w:proofErr w:type="spellStart"/>
      <w:r w:rsidRPr="0010629C">
        <w:rPr>
          <w:sz w:val="24"/>
          <w:szCs w:val="24"/>
        </w:rPr>
        <w:t>jarawara</w:t>
      </w:r>
      <w:proofErr w:type="spellEnd"/>
      <w:r w:rsidRPr="0010629C">
        <w:rPr>
          <w:sz w:val="24"/>
          <w:szCs w:val="24"/>
        </w:rPr>
        <w:t>); e grupo 5 – oito línguas apresentam gênero semântico e contextual (</w:t>
      </w:r>
      <w:proofErr w:type="spellStart"/>
      <w:r w:rsidRPr="0010629C">
        <w:rPr>
          <w:sz w:val="24"/>
          <w:szCs w:val="24"/>
        </w:rPr>
        <w:t>avá-canoeiro</w:t>
      </w:r>
      <w:proofErr w:type="spellEnd"/>
      <w:r w:rsidRPr="0010629C">
        <w:rPr>
          <w:sz w:val="24"/>
          <w:szCs w:val="24"/>
        </w:rPr>
        <w:t xml:space="preserve">, kaiowá, timbira, </w:t>
      </w:r>
      <w:proofErr w:type="spellStart"/>
      <w:r w:rsidRPr="0010629C">
        <w:rPr>
          <w:sz w:val="24"/>
          <w:szCs w:val="24"/>
        </w:rPr>
        <w:t>matis</w:t>
      </w:r>
      <w:proofErr w:type="spellEnd"/>
      <w:r w:rsidRPr="0010629C">
        <w:rPr>
          <w:sz w:val="24"/>
          <w:szCs w:val="24"/>
        </w:rPr>
        <w:t xml:space="preserve">, </w:t>
      </w:r>
      <w:proofErr w:type="spellStart"/>
      <w:r w:rsidRPr="0010629C">
        <w:rPr>
          <w:sz w:val="24"/>
          <w:szCs w:val="24"/>
        </w:rPr>
        <w:t>kwaza</w:t>
      </w:r>
      <w:proofErr w:type="spellEnd"/>
      <w:r w:rsidRPr="0010629C">
        <w:rPr>
          <w:sz w:val="24"/>
          <w:szCs w:val="24"/>
        </w:rPr>
        <w:t xml:space="preserve">, sateré-mawé, kamaiurá e </w:t>
      </w:r>
      <w:proofErr w:type="spellStart"/>
      <w:r w:rsidRPr="0010629C">
        <w:rPr>
          <w:sz w:val="24"/>
          <w:szCs w:val="24"/>
        </w:rPr>
        <w:t>aweti</w:t>
      </w:r>
      <w:proofErr w:type="spellEnd"/>
      <w:r w:rsidRPr="0010629C">
        <w:rPr>
          <w:sz w:val="24"/>
          <w:szCs w:val="24"/>
        </w:rPr>
        <w:t xml:space="preserve">). No grupo 1, a codificação é lexical e não há concordância; no grupo 2, a codificação é lexical ou lexical e morfossintática, sendo parcialmente possível realizar concordância; nos grupos 3 e 4, a codificação é lexical e morfossintática ou lexical, morfossintática e fonológica, sendo que há parcialmente concordância no grupo 3 e </w:t>
      </w:r>
      <w:r w:rsidR="00484C37">
        <w:rPr>
          <w:sz w:val="24"/>
          <w:szCs w:val="24"/>
        </w:rPr>
        <w:t xml:space="preserve">há </w:t>
      </w:r>
      <w:r w:rsidRPr="0010629C">
        <w:rPr>
          <w:sz w:val="24"/>
          <w:szCs w:val="24"/>
        </w:rPr>
        <w:t>concordância e acordo em todas as línguas do grupo 4; no grupo 5, são atestadas as três possibilidades de codificação mencionadas e há parcialmente concordância.</w:t>
      </w:r>
    </w:p>
    <w:p w14:paraId="361BE905" w14:textId="0EDE25B5" w:rsidR="0010629C" w:rsidRPr="0010629C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lastRenderedPageBreak/>
        <w:t xml:space="preserve">Esses achados mostram que a codificação do gênero não é homogênea nem é predominantemente formal, como frequentemente ocorre em línguas indo-europeias. </w:t>
      </w:r>
      <w:bookmarkStart w:id="0" w:name="_Hlk236339467"/>
      <w:r w:rsidRPr="0010629C">
        <w:rPr>
          <w:sz w:val="24"/>
          <w:szCs w:val="24"/>
        </w:rPr>
        <w:t>Os resultados do estudo corroboram a hipótese da pesquisa ao evidenciar que</w:t>
      </w:r>
      <w:r w:rsidR="00066FA8">
        <w:rPr>
          <w:sz w:val="24"/>
          <w:szCs w:val="24"/>
        </w:rPr>
        <w:t xml:space="preserve"> os</w:t>
      </w:r>
      <w:r w:rsidRPr="0010629C">
        <w:rPr>
          <w:sz w:val="24"/>
          <w:szCs w:val="24"/>
        </w:rPr>
        <w:t xml:space="preserve"> sistemas de gênero </w:t>
      </w:r>
      <w:r w:rsidR="00484C37">
        <w:rPr>
          <w:sz w:val="24"/>
          <w:szCs w:val="24"/>
        </w:rPr>
        <w:t>investigados</w:t>
      </w:r>
      <w:r w:rsidRPr="0010629C">
        <w:rPr>
          <w:sz w:val="24"/>
          <w:szCs w:val="24"/>
        </w:rPr>
        <w:t xml:space="preserve"> apresentam diversidade tipológica, sendo majoritariamente orientados por critérios semânticos, como sexo, pragmáticos, como </w:t>
      </w:r>
      <w:proofErr w:type="spellStart"/>
      <w:r w:rsidR="002601B3">
        <w:rPr>
          <w:sz w:val="24"/>
          <w:szCs w:val="24"/>
        </w:rPr>
        <w:t>cosmopercepções</w:t>
      </w:r>
      <w:proofErr w:type="spellEnd"/>
      <w:r w:rsidRPr="0010629C">
        <w:rPr>
          <w:sz w:val="24"/>
          <w:szCs w:val="24"/>
        </w:rPr>
        <w:t xml:space="preserve"> </w:t>
      </w:r>
      <w:proofErr w:type="spellStart"/>
      <w:r w:rsidR="006E1898">
        <w:rPr>
          <w:sz w:val="24"/>
          <w:szCs w:val="24"/>
        </w:rPr>
        <w:t>pindorâmicas</w:t>
      </w:r>
      <w:proofErr w:type="spellEnd"/>
      <w:r w:rsidRPr="0010629C">
        <w:rPr>
          <w:sz w:val="24"/>
          <w:szCs w:val="24"/>
        </w:rPr>
        <w:t xml:space="preserve">, e contextuais, como identidade de gênero </w:t>
      </w:r>
      <w:r w:rsidR="008300B8">
        <w:rPr>
          <w:sz w:val="24"/>
          <w:szCs w:val="24"/>
        </w:rPr>
        <w:t>do</w:t>
      </w:r>
      <w:r w:rsidR="00066FA8">
        <w:rPr>
          <w:sz w:val="24"/>
          <w:szCs w:val="24"/>
        </w:rPr>
        <w:t xml:space="preserve"> </w:t>
      </w:r>
      <w:r w:rsidR="00066FA8" w:rsidRPr="00066FA8">
        <w:rPr>
          <w:sz w:val="24"/>
          <w:szCs w:val="24"/>
        </w:rPr>
        <w:t>locutor ou</w:t>
      </w:r>
      <w:r w:rsidR="00066FA8">
        <w:rPr>
          <w:sz w:val="24"/>
          <w:szCs w:val="24"/>
        </w:rPr>
        <w:t xml:space="preserve"> do </w:t>
      </w:r>
      <w:r w:rsidRPr="0010629C">
        <w:rPr>
          <w:sz w:val="24"/>
          <w:szCs w:val="24"/>
        </w:rPr>
        <w:t>interlocutor.</w:t>
      </w:r>
    </w:p>
    <w:p w14:paraId="72D81E7C" w14:textId="06587C29" w:rsidR="00E50E25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t>Adicionalmente, os dados obtidos oferecem contraexemplos importantes às generalizações mais comuns da tipologia do gênero</w:t>
      </w:r>
      <w:r w:rsidR="00E50E25">
        <w:rPr>
          <w:sz w:val="24"/>
          <w:szCs w:val="24"/>
        </w:rPr>
        <w:t xml:space="preserve">, </w:t>
      </w:r>
      <w:r w:rsidRPr="0010629C">
        <w:rPr>
          <w:sz w:val="24"/>
          <w:szCs w:val="24"/>
        </w:rPr>
        <w:t>baseadas sobretudo em línguas euroasiáticas</w:t>
      </w:r>
      <w:r w:rsidR="00E50E25">
        <w:rPr>
          <w:sz w:val="24"/>
          <w:szCs w:val="24"/>
        </w:rPr>
        <w:t xml:space="preserve">, </w:t>
      </w:r>
      <w:r w:rsidRPr="0010629C">
        <w:rPr>
          <w:sz w:val="24"/>
          <w:szCs w:val="24"/>
        </w:rPr>
        <w:t xml:space="preserve">quanto à rigidez morfossintática (concordância </w:t>
      </w:r>
      <w:r w:rsidR="00CF3D3D">
        <w:rPr>
          <w:sz w:val="24"/>
          <w:szCs w:val="24"/>
        </w:rPr>
        <w:t>e</w:t>
      </w:r>
      <w:r w:rsidRPr="0010629C">
        <w:rPr>
          <w:sz w:val="24"/>
          <w:szCs w:val="24"/>
        </w:rPr>
        <w:t xml:space="preserve"> acordo), </w:t>
      </w:r>
      <w:r w:rsidR="00F3463E">
        <w:rPr>
          <w:sz w:val="24"/>
          <w:szCs w:val="24"/>
        </w:rPr>
        <w:t xml:space="preserve">que é </w:t>
      </w:r>
      <w:r w:rsidR="00CF3D3D">
        <w:rPr>
          <w:sz w:val="24"/>
          <w:szCs w:val="24"/>
        </w:rPr>
        <w:t>considerada</w:t>
      </w:r>
      <w:r w:rsidR="00F3463E">
        <w:rPr>
          <w:sz w:val="24"/>
          <w:szCs w:val="24"/>
        </w:rPr>
        <w:t xml:space="preserve"> o</w:t>
      </w:r>
      <w:r w:rsidR="00F8083A">
        <w:rPr>
          <w:sz w:val="24"/>
          <w:szCs w:val="24"/>
        </w:rPr>
        <w:t xml:space="preserve"> </w:t>
      </w:r>
      <w:r w:rsidRPr="0010629C">
        <w:rPr>
          <w:sz w:val="24"/>
          <w:szCs w:val="24"/>
        </w:rPr>
        <w:t>critério identificador da presença ou ausência de um sistema de gênero</w:t>
      </w:r>
      <w:r w:rsidR="00066FA8">
        <w:rPr>
          <w:sz w:val="24"/>
          <w:szCs w:val="24"/>
        </w:rPr>
        <w:t xml:space="preserve">, </w:t>
      </w:r>
      <w:r w:rsidR="00F3463E">
        <w:rPr>
          <w:sz w:val="24"/>
          <w:szCs w:val="24"/>
        </w:rPr>
        <w:t>conforme</w:t>
      </w:r>
      <w:r w:rsidR="00066FA8">
        <w:rPr>
          <w:sz w:val="24"/>
          <w:szCs w:val="24"/>
        </w:rPr>
        <w:t xml:space="preserve"> </w:t>
      </w:r>
      <w:r w:rsidR="00CF3D3D">
        <w:rPr>
          <w:sz w:val="24"/>
          <w:szCs w:val="24"/>
        </w:rPr>
        <w:t>aponta</w:t>
      </w:r>
      <w:r w:rsidR="00066FA8">
        <w:rPr>
          <w:sz w:val="24"/>
          <w:szCs w:val="24"/>
        </w:rPr>
        <w:t xml:space="preserve"> Nogueira (2026)</w:t>
      </w:r>
      <w:r w:rsidR="00483017">
        <w:rPr>
          <w:sz w:val="24"/>
          <w:szCs w:val="24"/>
        </w:rPr>
        <w:t>.</w:t>
      </w:r>
    </w:p>
    <w:bookmarkEnd w:id="0"/>
    <w:p w14:paraId="67C74552" w14:textId="2FECE202" w:rsidR="0010629C" w:rsidRPr="0010629C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t xml:space="preserve">A esse respeito, 19 das 30 línguas estudadas codificam gênero </w:t>
      </w:r>
      <w:proofErr w:type="spellStart"/>
      <w:r w:rsidRPr="0010629C">
        <w:rPr>
          <w:sz w:val="24"/>
          <w:szCs w:val="24"/>
        </w:rPr>
        <w:t>morfossintaticamente</w:t>
      </w:r>
      <w:proofErr w:type="spellEnd"/>
      <w:r w:rsidRPr="0010629C">
        <w:rPr>
          <w:sz w:val="24"/>
          <w:szCs w:val="24"/>
        </w:rPr>
        <w:t xml:space="preserve">, entre as quais 12 apresentam operação de concordância, sendo que quatro destas apresentam também operação de acordo. Ademais, a relação entre gênero e número, sugerida por </w:t>
      </w:r>
      <w:proofErr w:type="spellStart"/>
      <w:r w:rsidRPr="0010629C">
        <w:rPr>
          <w:sz w:val="24"/>
          <w:szCs w:val="24"/>
        </w:rPr>
        <w:t>Corbett</w:t>
      </w:r>
      <w:proofErr w:type="spellEnd"/>
      <w:r w:rsidRPr="0010629C">
        <w:rPr>
          <w:sz w:val="24"/>
          <w:szCs w:val="24"/>
        </w:rPr>
        <w:t xml:space="preserve"> (1991), só aparece em dez línguas da amostra. Afirmar que não há sistema de gênero nas outras línguas é reduzir as possibilidades de expressão e codificação do gênero gramatical a um parâmetro de análise único e excludente. E não considerar a questão semântico-lexical na marcação dessa categoria gramatical é desconsiderar a diversidade linguística quanto às noções de gênero veiculadas no uso da língua. Vale destacar que o gênero neutro, marcado em </w:t>
      </w:r>
      <w:proofErr w:type="spellStart"/>
      <w:r w:rsidRPr="0010629C">
        <w:rPr>
          <w:sz w:val="24"/>
          <w:szCs w:val="24"/>
        </w:rPr>
        <w:t>dzubukuá</w:t>
      </w:r>
      <w:proofErr w:type="spellEnd"/>
      <w:r w:rsidRPr="0010629C">
        <w:rPr>
          <w:sz w:val="24"/>
          <w:szCs w:val="24"/>
        </w:rPr>
        <w:t xml:space="preserve"> e </w:t>
      </w:r>
      <w:proofErr w:type="spellStart"/>
      <w:r w:rsidRPr="0010629C">
        <w:rPr>
          <w:sz w:val="24"/>
          <w:szCs w:val="24"/>
        </w:rPr>
        <w:t>wari</w:t>
      </w:r>
      <w:proofErr w:type="spellEnd"/>
      <w:r w:rsidRPr="0010629C">
        <w:rPr>
          <w:sz w:val="24"/>
          <w:szCs w:val="24"/>
        </w:rPr>
        <w:t xml:space="preserve">’, não é arbitrário e nem restrito a objetos inanimados, diferentemente do que sugere </w:t>
      </w:r>
      <w:proofErr w:type="spellStart"/>
      <w:r w:rsidRPr="0010629C">
        <w:rPr>
          <w:sz w:val="24"/>
          <w:szCs w:val="24"/>
        </w:rPr>
        <w:t>Aikhenvald</w:t>
      </w:r>
      <w:proofErr w:type="spellEnd"/>
      <w:r w:rsidRPr="0010629C">
        <w:rPr>
          <w:sz w:val="24"/>
          <w:szCs w:val="24"/>
        </w:rPr>
        <w:t xml:space="preserve"> (2016). Outr</w:t>
      </w:r>
      <w:r w:rsidR="008E4C6C">
        <w:rPr>
          <w:sz w:val="24"/>
          <w:szCs w:val="24"/>
        </w:rPr>
        <w:t>a</w:t>
      </w:r>
      <w:r w:rsidRPr="0010629C">
        <w:rPr>
          <w:sz w:val="24"/>
          <w:szCs w:val="24"/>
        </w:rPr>
        <w:t xml:space="preserve"> </w:t>
      </w:r>
      <w:r w:rsidR="008E4C6C">
        <w:rPr>
          <w:sz w:val="24"/>
          <w:szCs w:val="24"/>
        </w:rPr>
        <w:t>descoberta</w:t>
      </w:r>
      <w:r w:rsidRPr="0010629C">
        <w:rPr>
          <w:sz w:val="24"/>
          <w:szCs w:val="24"/>
        </w:rPr>
        <w:t xml:space="preserve"> relevante</w:t>
      </w:r>
      <w:r w:rsidR="008300B8">
        <w:rPr>
          <w:sz w:val="24"/>
          <w:szCs w:val="24"/>
        </w:rPr>
        <w:t xml:space="preserve"> </w:t>
      </w:r>
      <w:r w:rsidRPr="0010629C">
        <w:rPr>
          <w:sz w:val="24"/>
          <w:szCs w:val="24"/>
        </w:rPr>
        <w:t xml:space="preserve">é que os parâmetros de </w:t>
      </w:r>
      <w:proofErr w:type="spellStart"/>
      <w:r w:rsidRPr="0010629C">
        <w:rPr>
          <w:sz w:val="24"/>
          <w:szCs w:val="24"/>
        </w:rPr>
        <w:t>animacidade</w:t>
      </w:r>
      <w:proofErr w:type="spellEnd"/>
      <w:r w:rsidRPr="0010629C">
        <w:rPr>
          <w:sz w:val="24"/>
          <w:szCs w:val="24"/>
        </w:rPr>
        <w:t xml:space="preserve"> e humanidade, articulados na marcação de gênero, </w:t>
      </w:r>
      <w:r w:rsidR="008300B8">
        <w:rPr>
          <w:sz w:val="24"/>
          <w:szCs w:val="24"/>
        </w:rPr>
        <w:t>refletem</w:t>
      </w:r>
      <w:r w:rsidRPr="008E4C6C">
        <w:rPr>
          <w:sz w:val="24"/>
          <w:szCs w:val="24"/>
        </w:rPr>
        <w:t xml:space="preserve"> ontologias </w:t>
      </w:r>
      <w:r w:rsidR="002601B3">
        <w:rPr>
          <w:sz w:val="24"/>
          <w:szCs w:val="24"/>
        </w:rPr>
        <w:t>indígenas</w:t>
      </w:r>
      <w:r w:rsidR="008300B8">
        <w:rPr>
          <w:sz w:val="24"/>
          <w:szCs w:val="24"/>
        </w:rPr>
        <w:t xml:space="preserve">, </w:t>
      </w:r>
      <w:r w:rsidR="008300B8" w:rsidRPr="008E4C6C">
        <w:rPr>
          <w:sz w:val="24"/>
          <w:szCs w:val="24"/>
        </w:rPr>
        <w:t>diverg</w:t>
      </w:r>
      <w:r w:rsidR="008300B8">
        <w:rPr>
          <w:sz w:val="24"/>
          <w:szCs w:val="24"/>
        </w:rPr>
        <w:t>indo</w:t>
      </w:r>
      <w:r w:rsidR="008300B8" w:rsidRPr="008E4C6C">
        <w:rPr>
          <w:sz w:val="24"/>
          <w:szCs w:val="24"/>
        </w:rPr>
        <w:t xml:space="preserve"> da concepção ocidental</w:t>
      </w:r>
      <w:r w:rsidRPr="008E4C6C">
        <w:rPr>
          <w:sz w:val="24"/>
          <w:szCs w:val="24"/>
        </w:rPr>
        <w:t>.</w:t>
      </w:r>
    </w:p>
    <w:p w14:paraId="62BB5931" w14:textId="3FF6F4C8" w:rsidR="0010629C" w:rsidRPr="0010629C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t xml:space="preserve">Além disso, incorporar estudos políticos, decoloniais e </w:t>
      </w:r>
      <w:proofErr w:type="spellStart"/>
      <w:r w:rsidRPr="0010629C">
        <w:rPr>
          <w:sz w:val="24"/>
          <w:szCs w:val="24"/>
        </w:rPr>
        <w:t>contracoloniais</w:t>
      </w:r>
      <w:proofErr w:type="spellEnd"/>
      <w:r w:rsidRPr="0010629C">
        <w:rPr>
          <w:sz w:val="24"/>
          <w:szCs w:val="24"/>
        </w:rPr>
        <w:t xml:space="preserve"> à teoria linguística para análise dos dados (Foucault, 1977; </w:t>
      </w:r>
      <w:proofErr w:type="spellStart"/>
      <w:r w:rsidRPr="0010629C">
        <w:rPr>
          <w:sz w:val="24"/>
          <w:szCs w:val="24"/>
        </w:rPr>
        <w:t>Oyěwùmí</w:t>
      </w:r>
      <w:proofErr w:type="spellEnd"/>
      <w:r w:rsidRPr="0010629C">
        <w:rPr>
          <w:sz w:val="24"/>
          <w:szCs w:val="24"/>
        </w:rPr>
        <w:t xml:space="preserve">, 2021 [1997]; Viveiros de Castro, 1998; Barros; Monserrat, 2019; Rubim, 2020; Krenak, 2022; Luciano, 2022; </w:t>
      </w:r>
      <w:proofErr w:type="spellStart"/>
      <w:r w:rsidRPr="0010629C">
        <w:rPr>
          <w:sz w:val="24"/>
          <w:szCs w:val="24"/>
        </w:rPr>
        <w:t>Núñez</w:t>
      </w:r>
      <w:proofErr w:type="spellEnd"/>
      <w:r w:rsidRPr="0010629C">
        <w:rPr>
          <w:sz w:val="24"/>
          <w:szCs w:val="24"/>
        </w:rPr>
        <w:t>, 2023;</w:t>
      </w:r>
      <w:r w:rsidR="00CF3D3D">
        <w:rPr>
          <w:sz w:val="24"/>
          <w:szCs w:val="24"/>
        </w:rPr>
        <w:t xml:space="preserve"> Santana, 2023;</w:t>
      </w:r>
      <w:r w:rsidRPr="0010629C">
        <w:rPr>
          <w:sz w:val="24"/>
          <w:szCs w:val="24"/>
        </w:rPr>
        <w:t xml:space="preserve"> </w:t>
      </w:r>
      <w:proofErr w:type="spellStart"/>
      <w:r w:rsidRPr="0010629C">
        <w:rPr>
          <w:sz w:val="24"/>
          <w:szCs w:val="24"/>
        </w:rPr>
        <w:t>Freitag</w:t>
      </w:r>
      <w:proofErr w:type="spellEnd"/>
      <w:r w:rsidRPr="0010629C">
        <w:rPr>
          <w:sz w:val="24"/>
          <w:szCs w:val="24"/>
        </w:rPr>
        <w:t>, 2024; entre outros) foi crucial para uma compreensão mais detalhada dos resultados alcançados, indicando a importância da ampliação do escopo epistemológico e da interdisciplinaridade na descrição gramatical.</w:t>
      </w:r>
    </w:p>
    <w:p w14:paraId="4859970D" w14:textId="77777777" w:rsidR="0010629C" w:rsidRPr="0010629C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10629C">
        <w:rPr>
          <w:sz w:val="24"/>
          <w:szCs w:val="24"/>
        </w:rPr>
        <w:lastRenderedPageBreak/>
        <w:t>As grandes contribuições científicas da pesquisa consistem no avanço teórico do modelo tipológico funcional adotado, a Gramática Discursivo-Funcional (</w:t>
      </w:r>
      <w:proofErr w:type="spellStart"/>
      <w:r w:rsidRPr="0010629C">
        <w:rPr>
          <w:sz w:val="24"/>
          <w:szCs w:val="24"/>
        </w:rPr>
        <w:t>Hengeveld</w:t>
      </w:r>
      <w:proofErr w:type="spellEnd"/>
      <w:r w:rsidRPr="0010629C">
        <w:rPr>
          <w:sz w:val="24"/>
          <w:szCs w:val="24"/>
        </w:rPr>
        <w:t>; Mackenzie, 2008); na proposição de critérios tipológicos mais amplos e precisos para a descrição do gênero gramatical, articulando as dimensões cognitivas, gramaticais, funcionais, tipológicas e considerando os aspectos culturais, simbólicos e discursivos; na descrição e análise de línguas ameríndias; no desenvolvimento de abordagens críticas que considerem a heterogeneidade da linguagem humana potencialmente aplicadas ao ensino; e na documentação e divulgação da diversidade linguístico-cultural do Brasil.</w:t>
      </w:r>
    </w:p>
    <w:p w14:paraId="7DE31D30" w14:textId="613B404D" w:rsidR="00145190" w:rsidRDefault="0010629C" w:rsidP="0010629C">
      <w:pPr>
        <w:keepLines/>
        <w:widowControl w:val="0"/>
        <w:spacing w:line="360" w:lineRule="auto"/>
        <w:jc w:val="both"/>
        <w:rPr>
          <w:sz w:val="24"/>
          <w:szCs w:val="24"/>
        </w:rPr>
      </w:pPr>
      <w:proofErr w:type="spellStart"/>
      <w:r w:rsidRPr="0010629C">
        <w:rPr>
          <w:sz w:val="24"/>
          <w:szCs w:val="24"/>
        </w:rPr>
        <w:t>Socioculturalmente</w:t>
      </w:r>
      <w:proofErr w:type="spellEnd"/>
      <w:r w:rsidRPr="0010629C">
        <w:rPr>
          <w:sz w:val="24"/>
          <w:szCs w:val="24"/>
        </w:rPr>
        <w:t xml:space="preserve">, a pesquisa contribui ao promover o acesso a conhecimentos linguísticos atentos à diversidade; ao dar forma para vozes silenciadas, culturas invisibilizadas e assuntos marginalizados, valorizando grupos, povos e sistemas linguísticos historicamente </w:t>
      </w:r>
      <w:proofErr w:type="spellStart"/>
      <w:r w:rsidRPr="0010629C">
        <w:rPr>
          <w:sz w:val="24"/>
          <w:szCs w:val="24"/>
        </w:rPr>
        <w:t>minorizados</w:t>
      </w:r>
      <w:proofErr w:type="spellEnd"/>
      <w:r w:rsidRPr="0010629C">
        <w:rPr>
          <w:sz w:val="24"/>
          <w:szCs w:val="24"/>
        </w:rPr>
        <w:t xml:space="preserve">; ao preservar as línguas originárias, reafirmando a importância da preservação do patrimônio cultural imaterial; e ao registrar aspectos essenciais das </w:t>
      </w:r>
      <w:r w:rsidR="002601B3">
        <w:rPr>
          <w:sz w:val="24"/>
          <w:szCs w:val="24"/>
        </w:rPr>
        <w:t>cosmologias</w:t>
      </w:r>
      <w:r w:rsidRPr="006E1898">
        <w:rPr>
          <w:sz w:val="24"/>
          <w:szCs w:val="24"/>
        </w:rPr>
        <w:t xml:space="preserve"> </w:t>
      </w:r>
      <w:proofErr w:type="spellStart"/>
      <w:r w:rsidR="002601B3">
        <w:rPr>
          <w:sz w:val="24"/>
          <w:szCs w:val="24"/>
        </w:rPr>
        <w:t>pindorâmicas</w:t>
      </w:r>
      <w:proofErr w:type="spellEnd"/>
      <w:r w:rsidRPr="0010629C">
        <w:rPr>
          <w:sz w:val="24"/>
          <w:szCs w:val="24"/>
        </w:rPr>
        <w:t>, reconhecendo o papel central da língua como expressão de identidade, de pertença e de percepção de mundo.</w:t>
      </w:r>
      <w:r>
        <w:rPr>
          <w:sz w:val="24"/>
          <w:szCs w:val="24"/>
        </w:rPr>
        <w:t xml:space="preserve"> </w:t>
      </w:r>
    </w:p>
    <w:p w14:paraId="0CE3B58C" w14:textId="77777777" w:rsidR="00145190" w:rsidRDefault="00145190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C919936" w14:textId="3E2F1F0A" w:rsidR="0010629C" w:rsidRPr="001D13A8" w:rsidRDefault="00000000" w:rsidP="001D13A8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  <w:r w:rsidR="001D13A8">
        <w:rPr>
          <w:b/>
          <w:bCs/>
          <w:sz w:val="24"/>
          <w:szCs w:val="24"/>
        </w:rPr>
        <w:t xml:space="preserve">: </w:t>
      </w:r>
      <w:r w:rsidR="001D13A8">
        <w:t>expressão de gênero</w:t>
      </w:r>
      <w:r w:rsidR="0010629C" w:rsidRPr="001D13A8">
        <w:t>;</w:t>
      </w:r>
      <w:r w:rsidR="001D13A8">
        <w:t xml:space="preserve"> codificação de gênero;</w:t>
      </w:r>
      <w:r w:rsidR="0010629C" w:rsidRPr="001D13A8">
        <w:t xml:space="preserve"> Gramática Discursivo-Funcional; línguas indígenas do Brasil.</w:t>
      </w:r>
    </w:p>
    <w:p w14:paraId="0D6AC5B4" w14:textId="77777777" w:rsidR="00145190" w:rsidRDefault="0014519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34E34C7" w14:textId="77777777" w:rsidR="00484C37" w:rsidRDefault="00484C3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42F4090" w14:textId="5A3FFFE3" w:rsidR="00145190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</w:p>
    <w:p w14:paraId="4D3EF761" w14:textId="77777777" w:rsidR="006E1898" w:rsidRDefault="006E1898">
      <w:pPr>
        <w:keepLines/>
        <w:widowControl w:val="0"/>
        <w:spacing w:line="240" w:lineRule="auto"/>
        <w:rPr>
          <w:sz w:val="24"/>
          <w:szCs w:val="24"/>
        </w:rPr>
      </w:pPr>
    </w:p>
    <w:p w14:paraId="72BBD706" w14:textId="77777777" w:rsidR="006E1898" w:rsidRDefault="006E1898" w:rsidP="006E1898">
      <w:pPr>
        <w:spacing w:line="240" w:lineRule="auto"/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</w:pPr>
      <w:r w:rsidRPr="006E189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 xml:space="preserve">AIKHENVALD, Alexandra Y. </w:t>
      </w:r>
      <w:r w:rsidRPr="006E1898">
        <w:rPr>
          <w:rFonts w:eastAsia="Calibri"/>
          <w:b/>
          <w:bCs/>
          <w:kern w:val="2"/>
          <w:sz w:val="24"/>
          <w:szCs w:val="24"/>
          <w:lang w:val="en-US" w:eastAsia="en-US"/>
          <w14:ligatures w14:val="standardContextual"/>
        </w:rPr>
        <w:t>How gender shapes the world</w:t>
      </w:r>
      <w:r w:rsidRPr="006E189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>. 1. ed. New York: Oxford University Press, 2016.</w:t>
      </w:r>
    </w:p>
    <w:p w14:paraId="4280FC70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  <w:lang w:val="en-US"/>
        </w:rPr>
      </w:pPr>
    </w:p>
    <w:p w14:paraId="2B34F2B3" w14:textId="734AEACB" w:rsidR="006E1898" w:rsidRDefault="006E1898" w:rsidP="006E1898">
      <w:pPr>
        <w:spacing w:line="240" w:lineRule="auto"/>
        <w:rPr>
          <w:rFonts w:eastAsia="Calibri"/>
          <w:kern w:val="2"/>
          <w:sz w:val="24"/>
          <w:szCs w:val="24"/>
          <w:shd w:val="clear" w:color="auto" w:fill="FFFFFF"/>
          <w:lang w:val="en-US" w:eastAsia="en-US"/>
          <w14:ligatures w14:val="standardContextual"/>
        </w:rPr>
      </w:pPr>
      <w:r w:rsidRPr="006E1898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 xml:space="preserve">BARROS, Cândida; MONSERRAT, Ruth. Dilemas da evangelização em tupi na Amazônia na primeira metade do </w:t>
      </w:r>
      <w:proofErr w:type="spellStart"/>
      <w:r w:rsidRPr="006E1898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séculoXVIII</w:t>
      </w:r>
      <w:proofErr w:type="spellEnd"/>
      <w:r w:rsidRPr="006E1898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 xml:space="preserve">: vernaculizar ou manter a tradição textual jesuítica? </w:t>
      </w:r>
      <w:r w:rsidRPr="006E1898">
        <w:rPr>
          <w:rFonts w:eastAsia="Calibri"/>
          <w:i/>
          <w:iCs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In</w:t>
      </w:r>
      <w:r w:rsidRPr="006E1898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 xml:space="preserve">: CERRÓN-PALOMINO, Rodolfo; RIVERO, Álvaro E.; ZWARTJES, Otto. (org.). </w:t>
      </w:r>
      <w:proofErr w:type="spellStart"/>
      <w:r w:rsidRPr="006E1898">
        <w:rPr>
          <w:rFonts w:eastAsia="Calibri"/>
          <w:b/>
          <w:bCs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Lingüística</w:t>
      </w:r>
      <w:proofErr w:type="spellEnd"/>
      <w:r w:rsidRPr="006E1898">
        <w:rPr>
          <w:rFonts w:eastAsia="Calibri"/>
          <w:b/>
          <w:bCs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 xml:space="preserve"> missioneira</w:t>
      </w:r>
      <w:r w:rsidRPr="006E1898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 xml:space="preserve">. Aspectos </w:t>
      </w:r>
      <w:proofErr w:type="spellStart"/>
      <w:r w:rsidRPr="006E1898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lingüísticos</w:t>
      </w:r>
      <w:proofErr w:type="spellEnd"/>
      <w:r w:rsidRPr="006E1898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, discursivos, filológicos y pedagógicos. Lima: Fondo Editorial PUCP, p. 66-72</w:t>
      </w:r>
      <w:r w:rsidR="00E50E25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>,</w:t>
      </w:r>
      <w:r w:rsidRPr="006E1898">
        <w:rPr>
          <w:rFonts w:eastAsia="Calibri"/>
          <w:kern w:val="2"/>
          <w:sz w:val="24"/>
          <w:szCs w:val="24"/>
          <w:shd w:val="clear" w:color="auto" w:fill="FFFFFF"/>
          <w:lang w:eastAsia="en-US"/>
          <w14:ligatures w14:val="standardContextual"/>
        </w:rPr>
        <w:t xml:space="preserve"> </w:t>
      </w:r>
      <w:r w:rsidRPr="006E1898">
        <w:rPr>
          <w:rFonts w:eastAsia="Calibri"/>
          <w:kern w:val="2"/>
          <w:sz w:val="24"/>
          <w:szCs w:val="24"/>
          <w:shd w:val="clear" w:color="auto" w:fill="FFFFFF"/>
          <w:lang w:val="en-US" w:eastAsia="en-US"/>
          <w14:ligatures w14:val="standardContextual"/>
        </w:rPr>
        <w:t>2019.</w:t>
      </w:r>
    </w:p>
    <w:p w14:paraId="516DB544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  <w:lang w:val="en-US"/>
        </w:rPr>
      </w:pPr>
    </w:p>
    <w:p w14:paraId="294F77B3" w14:textId="77777777" w:rsidR="006E1898" w:rsidRDefault="006E1898" w:rsidP="006E1898">
      <w:pPr>
        <w:spacing w:line="240" w:lineRule="auto"/>
        <w:rPr>
          <w:rFonts w:eastAsia="Calibri"/>
          <w:kern w:val="2"/>
          <w:sz w:val="24"/>
          <w:szCs w:val="24"/>
          <w:shd w:val="clear" w:color="auto" w:fill="FFFFFF"/>
          <w:lang w:val="en-US" w:eastAsia="en-US"/>
          <w14:ligatures w14:val="standardContextual"/>
        </w:rPr>
      </w:pPr>
      <w:r w:rsidRPr="006E1898">
        <w:rPr>
          <w:rFonts w:eastAsia="Calibri"/>
          <w:kern w:val="2"/>
          <w:sz w:val="24"/>
          <w:szCs w:val="24"/>
          <w:shd w:val="clear" w:color="auto" w:fill="FFFFFF"/>
          <w:lang w:val="en-US" w:eastAsia="en-US"/>
          <w14:ligatures w14:val="standardContextual"/>
        </w:rPr>
        <w:t xml:space="preserve">CORBETT, Greville G. </w:t>
      </w:r>
      <w:r w:rsidRPr="006E1898">
        <w:rPr>
          <w:rFonts w:eastAsia="Calibri"/>
          <w:b/>
          <w:bCs/>
          <w:kern w:val="2"/>
          <w:sz w:val="24"/>
          <w:szCs w:val="24"/>
          <w:shd w:val="clear" w:color="auto" w:fill="FFFFFF"/>
          <w:lang w:val="en-US" w:eastAsia="en-US"/>
          <w14:ligatures w14:val="standardContextual"/>
        </w:rPr>
        <w:t>Gender</w:t>
      </w:r>
      <w:r w:rsidRPr="006E1898">
        <w:rPr>
          <w:rFonts w:eastAsia="Calibri"/>
          <w:kern w:val="2"/>
          <w:sz w:val="24"/>
          <w:szCs w:val="24"/>
          <w:shd w:val="clear" w:color="auto" w:fill="FFFFFF"/>
          <w:lang w:val="en-US" w:eastAsia="en-US"/>
          <w14:ligatures w14:val="standardContextual"/>
        </w:rPr>
        <w:t>. New York: Cambridge University Press, 1991.</w:t>
      </w:r>
    </w:p>
    <w:p w14:paraId="55B23153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  <w:shd w:val="clear" w:color="auto" w:fill="FFFFFF"/>
          <w:lang w:val="en-US"/>
        </w:rPr>
      </w:pPr>
    </w:p>
    <w:p w14:paraId="68AFCA1E" w14:textId="77777777" w:rsidR="006E1898" w:rsidRPr="006E1898" w:rsidRDefault="006E1898" w:rsidP="006E1898">
      <w:pPr>
        <w:pStyle w:val="Textodenotaderodap"/>
        <w:jc w:val="left"/>
        <w:rPr>
          <w:rFonts w:eastAsia="Calibri"/>
          <w:kern w:val="2"/>
          <w:sz w:val="24"/>
          <w:szCs w:val="24"/>
          <w:lang w:eastAsia="en-US"/>
          <w14:ligatures w14:val="standardContextual"/>
        </w:rPr>
      </w:pPr>
      <w:r w:rsidRPr="006E1898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FOUCAULT, Michel. </w:t>
      </w:r>
      <w:r w:rsidRPr="006E1898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>História da sexualidade I</w:t>
      </w:r>
      <w:r w:rsidRPr="001D13A8">
        <w:rPr>
          <w:rFonts w:eastAsia="Calibri"/>
          <w:kern w:val="2"/>
          <w:sz w:val="24"/>
          <w:szCs w:val="24"/>
          <w:lang w:eastAsia="en-US"/>
          <w14:ligatures w14:val="standardContextual"/>
        </w:rPr>
        <w:t>: a vontade de saber</w:t>
      </w:r>
      <w:r w:rsidRPr="006E1898">
        <w:rPr>
          <w:rFonts w:eastAsia="Calibri"/>
          <w:kern w:val="2"/>
          <w:sz w:val="24"/>
          <w:szCs w:val="24"/>
          <w:lang w:eastAsia="en-US"/>
          <w14:ligatures w14:val="standardContextual"/>
        </w:rPr>
        <w:t>. Tradução de Maria Thereza costa Albuquerque e José Augusto Guilhon Albuquerque. Rio de Janeiro: Graal, 1977.</w:t>
      </w:r>
    </w:p>
    <w:p w14:paraId="1ACC5A42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</w:rPr>
      </w:pPr>
    </w:p>
    <w:p w14:paraId="3563D270" w14:textId="77777777" w:rsidR="006E1898" w:rsidRDefault="006E1898" w:rsidP="006E1898">
      <w:pPr>
        <w:spacing w:line="240" w:lineRule="auto"/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</w:pPr>
      <w:r w:rsidRPr="006E1898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FREITAG, Raquel. </w:t>
      </w:r>
      <w:r w:rsidRPr="006E1898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 xml:space="preserve">Não existe linguagem </w:t>
      </w:r>
      <w:proofErr w:type="gramStart"/>
      <w:r w:rsidRPr="006E1898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>neutra</w:t>
      </w:r>
      <w:r w:rsidRPr="001D13A8">
        <w:rPr>
          <w:rFonts w:eastAsia="Calibri"/>
          <w:kern w:val="2"/>
          <w:sz w:val="24"/>
          <w:szCs w:val="24"/>
          <w:lang w:eastAsia="en-US"/>
          <w14:ligatures w14:val="standardContextual"/>
        </w:rPr>
        <w:t>!</w:t>
      </w:r>
      <w:r w:rsidRPr="00484C37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>:</w:t>
      </w:r>
      <w:proofErr w:type="gramEnd"/>
      <w:r w:rsidRPr="001D13A8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 gênero na sociedade e na gramática do português brasileiro</w:t>
      </w:r>
      <w:r w:rsidRPr="006E1898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. </w:t>
      </w:r>
      <w:r w:rsidRPr="006E189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 xml:space="preserve">1. ed. São Paulo: </w:t>
      </w:r>
      <w:proofErr w:type="spellStart"/>
      <w:r w:rsidRPr="006E189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>Contexto</w:t>
      </w:r>
      <w:proofErr w:type="spellEnd"/>
      <w:r w:rsidRPr="006E189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>, 2024.</w:t>
      </w:r>
    </w:p>
    <w:p w14:paraId="5D22E77B" w14:textId="6AC3E2CD" w:rsidR="006E1898" w:rsidRPr="00E50E25" w:rsidRDefault="006E1898" w:rsidP="006E1898">
      <w:pPr>
        <w:spacing w:line="240" w:lineRule="auto"/>
        <w:rPr>
          <w:rFonts w:eastAsia="Calibri"/>
          <w:sz w:val="24"/>
          <w:szCs w:val="24"/>
        </w:rPr>
      </w:pPr>
    </w:p>
    <w:p w14:paraId="518CEF73" w14:textId="77777777" w:rsidR="006E1898" w:rsidRDefault="006E1898" w:rsidP="006E1898">
      <w:pPr>
        <w:spacing w:line="240" w:lineRule="auto"/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</w:pPr>
      <w:r w:rsidRPr="006E189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 xml:space="preserve">HENGEVELD, Kees.; MACKENZIE, J. Lachlan. </w:t>
      </w:r>
      <w:r w:rsidRPr="006E1898">
        <w:rPr>
          <w:rFonts w:eastAsia="Calibri"/>
          <w:b/>
          <w:bCs/>
          <w:kern w:val="2"/>
          <w:sz w:val="24"/>
          <w:szCs w:val="24"/>
          <w:lang w:val="en-US" w:eastAsia="en-US"/>
          <w14:ligatures w14:val="standardContextual"/>
        </w:rPr>
        <w:t>Functional Discourse Grammar</w:t>
      </w:r>
      <w:r w:rsidRPr="001D13A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>: a typologically-based theory of language structure.</w:t>
      </w:r>
      <w:r w:rsidRPr="006E1898">
        <w:rPr>
          <w:rFonts w:eastAsia="Calibri"/>
          <w:kern w:val="2"/>
          <w:sz w:val="24"/>
          <w:szCs w:val="24"/>
          <w:lang w:val="en-US" w:eastAsia="en-US"/>
          <w14:ligatures w14:val="standardContextual"/>
        </w:rPr>
        <w:t xml:space="preserve"> Oxford: Oxford University Press, 2008.</w:t>
      </w:r>
    </w:p>
    <w:p w14:paraId="5B8A4609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  <w:lang w:val="en-US"/>
        </w:rPr>
      </w:pPr>
    </w:p>
    <w:p w14:paraId="26CAE3AC" w14:textId="77777777" w:rsidR="006E1898" w:rsidRDefault="006E1898" w:rsidP="006E1898">
      <w:pPr>
        <w:spacing w:line="240" w:lineRule="auto"/>
        <w:rPr>
          <w:spacing w:val="-2"/>
          <w:sz w:val="24"/>
          <w:szCs w:val="24"/>
        </w:rPr>
      </w:pPr>
      <w:r w:rsidRPr="006E1898">
        <w:rPr>
          <w:spacing w:val="-2"/>
          <w:sz w:val="24"/>
          <w:szCs w:val="24"/>
        </w:rPr>
        <w:t xml:space="preserve">KRENAK, Ailton. </w:t>
      </w:r>
      <w:r w:rsidRPr="006E1898">
        <w:rPr>
          <w:b/>
          <w:bCs/>
          <w:spacing w:val="-2"/>
          <w:sz w:val="24"/>
          <w:szCs w:val="24"/>
        </w:rPr>
        <w:t>Futuro ancestral</w:t>
      </w:r>
      <w:r w:rsidRPr="006E1898">
        <w:rPr>
          <w:spacing w:val="-2"/>
          <w:sz w:val="24"/>
          <w:szCs w:val="24"/>
        </w:rPr>
        <w:t>. 1 ed. São Paulo: Companhia das Letras, 2022.</w:t>
      </w:r>
    </w:p>
    <w:p w14:paraId="3BF32ADC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  <w:lang w:val="en-US"/>
        </w:rPr>
      </w:pPr>
    </w:p>
    <w:p w14:paraId="508D0F9B" w14:textId="52507D3B" w:rsidR="006E1898" w:rsidRDefault="006E1898" w:rsidP="006E1898">
      <w:pPr>
        <w:spacing w:line="240" w:lineRule="auto"/>
        <w:rPr>
          <w:sz w:val="24"/>
          <w:szCs w:val="24"/>
        </w:rPr>
      </w:pPr>
      <w:r w:rsidRPr="006E1898">
        <w:rPr>
          <w:sz w:val="24"/>
          <w:szCs w:val="24"/>
        </w:rPr>
        <w:t xml:space="preserve">LUCIANO, </w:t>
      </w:r>
      <w:proofErr w:type="spellStart"/>
      <w:r w:rsidRPr="006E1898">
        <w:rPr>
          <w:sz w:val="24"/>
          <w:szCs w:val="24"/>
        </w:rPr>
        <w:t>Gersem</w:t>
      </w:r>
      <w:proofErr w:type="spellEnd"/>
      <w:r w:rsidRPr="006E1898">
        <w:rPr>
          <w:sz w:val="24"/>
          <w:szCs w:val="24"/>
        </w:rPr>
        <w:t xml:space="preserve"> J. dos S. Saberes indígenas e resistência linguística. In: MATOS, Doris Cristina V. </w:t>
      </w:r>
      <w:proofErr w:type="spellStart"/>
      <w:r w:rsidRPr="006E1898">
        <w:rPr>
          <w:sz w:val="24"/>
          <w:szCs w:val="24"/>
        </w:rPr>
        <w:t>da</w:t>
      </w:r>
      <w:proofErr w:type="spellEnd"/>
      <w:r w:rsidRPr="006E1898">
        <w:rPr>
          <w:sz w:val="24"/>
          <w:szCs w:val="24"/>
        </w:rPr>
        <w:t xml:space="preserve"> S.; SOUSA, Cristiane Maria C. L. L. de (</w:t>
      </w:r>
      <w:proofErr w:type="spellStart"/>
      <w:r w:rsidRPr="006E1898">
        <w:rPr>
          <w:sz w:val="24"/>
          <w:szCs w:val="24"/>
        </w:rPr>
        <w:t>orgs</w:t>
      </w:r>
      <w:proofErr w:type="spellEnd"/>
      <w:r w:rsidRPr="006E1898">
        <w:rPr>
          <w:sz w:val="24"/>
          <w:szCs w:val="24"/>
        </w:rPr>
        <w:t xml:space="preserve">.). </w:t>
      </w:r>
      <w:proofErr w:type="spellStart"/>
      <w:r w:rsidRPr="006E1898">
        <w:rPr>
          <w:b/>
          <w:bCs/>
          <w:sz w:val="24"/>
          <w:szCs w:val="24"/>
        </w:rPr>
        <w:t>Suleando</w:t>
      </w:r>
      <w:proofErr w:type="spellEnd"/>
      <w:r w:rsidRPr="006E1898">
        <w:rPr>
          <w:b/>
          <w:bCs/>
          <w:sz w:val="24"/>
          <w:szCs w:val="24"/>
        </w:rPr>
        <w:t xml:space="preserve"> conceitos em linguagens</w:t>
      </w:r>
      <w:r w:rsidRPr="001D13A8">
        <w:rPr>
          <w:sz w:val="24"/>
          <w:szCs w:val="24"/>
        </w:rPr>
        <w:t>: decolonialidades e epistemologias outras.</w:t>
      </w:r>
      <w:r w:rsidRPr="006E1898">
        <w:rPr>
          <w:sz w:val="24"/>
          <w:szCs w:val="24"/>
        </w:rPr>
        <w:t xml:space="preserve"> 1 ed. Campinas: Pontes Editores,</w:t>
      </w:r>
      <w:r w:rsidR="00E50E25">
        <w:rPr>
          <w:sz w:val="24"/>
          <w:szCs w:val="24"/>
        </w:rPr>
        <w:t xml:space="preserve"> p. </w:t>
      </w:r>
      <w:r w:rsidR="00483017">
        <w:rPr>
          <w:sz w:val="24"/>
          <w:szCs w:val="24"/>
        </w:rPr>
        <w:t>323-332,</w:t>
      </w:r>
      <w:r w:rsidRPr="006E1898">
        <w:rPr>
          <w:sz w:val="24"/>
          <w:szCs w:val="24"/>
        </w:rPr>
        <w:t xml:space="preserve"> 2022.</w:t>
      </w:r>
    </w:p>
    <w:p w14:paraId="3430839E" w14:textId="77777777" w:rsidR="006E1898" w:rsidRPr="006E1898" w:rsidRDefault="006E1898" w:rsidP="006E1898">
      <w:pPr>
        <w:spacing w:line="240" w:lineRule="auto"/>
        <w:rPr>
          <w:rFonts w:eastAsia="Calibri"/>
          <w:sz w:val="24"/>
          <w:szCs w:val="24"/>
        </w:rPr>
      </w:pPr>
    </w:p>
    <w:p w14:paraId="4E9C8A25" w14:textId="63772A5F" w:rsidR="006E1898" w:rsidRDefault="006E1898" w:rsidP="006E1898">
      <w:pPr>
        <w:spacing w:line="240" w:lineRule="auto"/>
        <w:rPr>
          <w:sz w:val="24"/>
          <w:szCs w:val="24"/>
        </w:rPr>
      </w:pPr>
      <w:r w:rsidRPr="006E1898">
        <w:rPr>
          <w:sz w:val="24"/>
          <w:szCs w:val="24"/>
        </w:rPr>
        <w:t xml:space="preserve">NOGUEIRA, Lua C. </w:t>
      </w:r>
      <w:r w:rsidRPr="006E1898">
        <w:rPr>
          <w:b/>
          <w:bCs/>
          <w:sz w:val="24"/>
          <w:szCs w:val="24"/>
        </w:rPr>
        <w:t xml:space="preserve">A categoria linguística de gênero nas línguas indígenas do Brasil: </w:t>
      </w:r>
      <w:r w:rsidRPr="001D13A8">
        <w:rPr>
          <w:sz w:val="24"/>
          <w:szCs w:val="24"/>
        </w:rPr>
        <w:t>um estudo tipológico-funcional</w:t>
      </w:r>
      <w:r w:rsidRPr="006E1898">
        <w:rPr>
          <w:sz w:val="24"/>
          <w:szCs w:val="24"/>
        </w:rPr>
        <w:t xml:space="preserve">. 2026. 395 p. Tese (Doutorado) - Universidade Estadual Paulista, São José do Rio Preto, 2026. Disponível em: </w:t>
      </w:r>
      <w:hyperlink r:id="rId6" w:tgtFrame="_blank" w:history="1">
        <w:r w:rsidRPr="006E1898">
          <w:rPr>
            <w:rStyle w:val="Hyperlink"/>
            <w:sz w:val="24"/>
            <w:szCs w:val="24"/>
          </w:rPr>
          <w:t>https://hdl.handle.net/11449/325044</w:t>
        </w:r>
      </w:hyperlink>
      <w:r w:rsidRPr="006E1898">
        <w:rPr>
          <w:sz w:val="24"/>
          <w:szCs w:val="24"/>
        </w:rPr>
        <w:t>. Acesso em: 29 jul. 2026.</w:t>
      </w:r>
    </w:p>
    <w:p w14:paraId="6B60D9C3" w14:textId="77777777" w:rsidR="006E1898" w:rsidRPr="006E1898" w:rsidRDefault="006E1898" w:rsidP="006E1898">
      <w:pPr>
        <w:spacing w:line="240" w:lineRule="auto"/>
        <w:rPr>
          <w:sz w:val="24"/>
          <w:szCs w:val="24"/>
        </w:rPr>
      </w:pPr>
    </w:p>
    <w:p w14:paraId="666C894D" w14:textId="6E746D75" w:rsidR="006E1898" w:rsidRDefault="006E1898" w:rsidP="006E1898">
      <w:pPr>
        <w:spacing w:line="240" w:lineRule="auto"/>
        <w:rPr>
          <w:sz w:val="24"/>
          <w:szCs w:val="24"/>
        </w:rPr>
      </w:pPr>
      <w:r w:rsidRPr="006E1898">
        <w:rPr>
          <w:sz w:val="24"/>
          <w:szCs w:val="24"/>
        </w:rPr>
        <w:t xml:space="preserve">NÚÑEZ, Geni. As monoculturas como violação da singularidade. </w:t>
      </w:r>
      <w:r w:rsidRPr="006E1898">
        <w:rPr>
          <w:b/>
          <w:bCs/>
          <w:sz w:val="24"/>
          <w:szCs w:val="24"/>
        </w:rPr>
        <w:t>Jornal de Psicanálise</w:t>
      </w:r>
      <w:r w:rsidRPr="006E1898">
        <w:rPr>
          <w:sz w:val="24"/>
          <w:szCs w:val="24"/>
        </w:rPr>
        <w:t xml:space="preserve">, 56 (105), </w:t>
      </w:r>
      <w:r w:rsidR="00E50E25">
        <w:rPr>
          <w:sz w:val="24"/>
          <w:szCs w:val="24"/>
        </w:rPr>
        <w:t xml:space="preserve">p. </w:t>
      </w:r>
      <w:r w:rsidRPr="006E1898">
        <w:rPr>
          <w:sz w:val="24"/>
          <w:szCs w:val="24"/>
        </w:rPr>
        <w:t>107-120. 2023. DOI:</w:t>
      </w:r>
      <w:r w:rsidRPr="006E1898">
        <w:rPr>
          <w:b/>
          <w:bCs/>
          <w:sz w:val="24"/>
          <w:szCs w:val="24"/>
        </w:rPr>
        <w:t xml:space="preserve"> </w:t>
      </w:r>
      <w:r w:rsidRPr="006E1898">
        <w:rPr>
          <w:sz w:val="24"/>
          <w:szCs w:val="24"/>
        </w:rPr>
        <w:t>10.5935/0103-5835.v56n105.08.</w:t>
      </w:r>
    </w:p>
    <w:p w14:paraId="6FE77E1C" w14:textId="77777777" w:rsidR="006E1898" w:rsidRPr="006E1898" w:rsidRDefault="006E1898" w:rsidP="006E1898">
      <w:pPr>
        <w:spacing w:line="240" w:lineRule="auto"/>
        <w:rPr>
          <w:sz w:val="24"/>
          <w:szCs w:val="24"/>
        </w:rPr>
      </w:pPr>
    </w:p>
    <w:p w14:paraId="6CDC4355" w14:textId="4C2561A9" w:rsidR="006E1898" w:rsidRDefault="006E1898" w:rsidP="006E1898">
      <w:pPr>
        <w:spacing w:line="240" w:lineRule="auto"/>
        <w:rPr>
          <w:sz w:val="24"/>
          <w:szCs w:val="24"/>
        </w:rPr>
      </w:pPr>
      <w:r w:rsidRPr="006E1898">
        <w:rPr>
          <w:sz w:val="24"/>
          <w:szCs w:val="24"/>
        </w:rPr>
        <w:t xml:space="preserve">OYĚWÙMÍ, </w:t>
      </w:r>
      <w:proofErr w:type="spellStart"/>
      <w:r w:rsidRPr="006E1898">
        <w:rPr>
          <w:sz w:val="24"/>
          <w:szCs w:val="24"/>
        </w:rPr>
        <w:t>Oyèrónké</w:t>
      </w:r>
      <w:proofErr w:type="spellEnd"/>
      <w:r w:rsidRPr="006E1898">
        <w:rPr>
          <w:sz w:val="24"/>
          <w:szCs w:val="24"/>
        </w:rPr>
        <w:t xml:space="preserve">̣. </w:t>
      </w:r>
      <w:r w:rsidRPr="006E1898">
        <w:rPr>
          <w:b/>
          <w:bCs/>
          <w:sz w:val="24"/>
          <w:szCs w:val="24"/>
        </w:rPr>
        <w:t>A invenção das mulheres:</w:t>
      </w:r>
      <w:r w:rsidR="001D13A8">
        <w:rPr>
          <w:b/>
          <w:bCs/>
          <w:sz w:val="24"/>
          <w:szCs w:val="24"/>
        </w:rPr>
        <w:t xml:space="preserve"> </w:t>
      </w:r>
      <w:r w:rsidRPr="001D13A8">
        <w:rPr>
          <w:sz w:val="24"/>
          <w:szCs w:val="24"/>
        </w:rPr>
        <w:t xml:space="preserve">construindo um sentido africano para os discursos ocidentais de gênero. </w:t>
      </w:r>
      <w:r w:rsidRPr="006E1898">
        <w:rPr>
          <w:sz w:val="24"/>
          <w:szCs w:val="24"/>
        </w:rPr>
        <w:t>Tradução de Wanderson Flor do Nascimento. 1 ed. Rio de Janeiro: Bazar do Tempo, 2021 [1997].</w:t>
      </w:r>
    </w:p>
    <w:p w14:paraId="40CE37D1" w14:textId="77777777" w:rsidR="006E1898" w:rsidRPr="006E1898" w:rsidRDefault="006E1898" w:rsidP="006E1898">
      <w:pPr>
        <w:spacing w:line="240" w:lineRule="auto"/>
        <w:rPr>
          <w:sz w:val="24"/>
          <w:szCs w:val="24"/>
        </w:rPr>
      </w:pPr>
    </w:p>
    <w:p w14:paraId="59101774" w14:textId="77777777" w:rsidR="006E1898" w:rsidRDefault="006E1898" w:rsidP="006E1898">
      <w:pPr>
        <w:spacing w:line="240" w:lineRule="auto"/>
        <w:rPr>
          <w:sz w:val="24"/>
          <w:szCs w:val="24"/>
        </w:rPr>
      </w:pPr>
      <w:r w:rsidRPr="006E1898">
        <w:rPr>
          <w:sz w:val="24"/>
          <w:szCs w:val="24"/>
        </w:rPr>
        <w:t xml:space="preserve">RUBIM, </w:t>
      </w:r>
      <w:proofErr w:type="spellStart"/>
      <w:r w:rsidRPr="006E1898">
        <w:rPr>
          <w:sz w:val="24"/>
          <w:szCs w:val="24"/>
        </w:rPr>
        <w:t>Altaci</w:t>
      </w:r>
      <w:proofErr w:type="spellEnd"/>
      <w:r w:rsidRPr="006E1898">
        <w:rPr>
          <w:sz w:val="24"/>
          <w:szCs w:val="24"/>
        </w:rPr>
        <w:t xml:space="preserve"> C. A vitalização da Língua Kokama além das fronteiras entre o Brasil e o Peru. </w:t>
      </w:r>
      <w:r w:rsidRPr="006E1898">
        <w:rPr>
          <w:b/>
          <w:bCs/>
          <w:sz w:val="24"/>
          <w:szCs w:val="24"/>
        </w:rPr>
        <w:t>Cadernos de Linguística</w:t>
      </w:r>
      <w:r w:rsidRPr="006E1898">
        <w:rPr>
          <w:sz w:val="24"/>
          <w:szCs w:val="24"/>
        </w:rPr>
        <w:t>, v. 1, n. 3. p. 01-18, 2020.</w:t>
      </w:r>
    </w:p>
    <w:p w14:paraId="60659BE8" w14:textId="77777777" w:rsidR="00B71C1E" w:rsidRDefault="00B71C1E" w:rsidP="006E1898">
      <w:pPr>
        <w:spacing w:line="240" w:lineRule="auto"/>
        <w:rPr>
          <w:sz w:val="24"/>
          <w:szCs w:val="24"/>
        </w:rPr>
      </w:pPr>
    </w:p>
    <w:p w14:paraId="12E81BF7" w14:textId="16A16EB0" w:rsidR="00B71C1E" w:rsidRPr="00B71C1E" w:rsidRDefault="00B71C1E" w:rsidP="00B71C1E">
      <w:pPr>
        <w:spacing w:line="240" w:lineRule="auto"/>
        <w:rPr>
          <w:rFonts w:eastAsia="Calibri"/>
          <w:kern w:val="2"/>
          <w:sz w:val="24"/>
          <w:szCs w:val="24"/>
          <w:lang w:eastAsia="en-US"/>
          <w14:ligatures w14:val="standardContextual"/>
        </w:rPr>
      </w:pPr>
      <w:r w:rsidRPr="00B71C1E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SANTANA, Élide Elen da P. </w:t>
      </w:r>
      <w:r w:rsidRPr="00B71C1E">
        <w:rPr>
          <w:rFonts w:eastAsia="Calibri"/>
          <w:b/>
          <w:bCs/>
          <w:kern w:val="2"/>
          <w:sz w:val="24"/>
          <w:szCs w:val="24"/>
          <w:lang w:eastAsia="en-US"/>
          <w14:ligatures w14:val="standardContextual"/>
        </w:rPr>
        <w:t>A determinação de gênero feminino no português brasileiro</w:t>
      </w:r>
      <w:r w:rsidRPr="00B71C1E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. 2023. 296 </w:t>
      </w:r>
      <w:r>
        <w:rPr>
          <w:rFonts w:eastAsia="Calibri"/>
          <w:kern w:val="2"/>
          <w:sz w:val="24"/>
          <w:szCs w:val="24"/>
          <w:lang w:eastAsia="en-US"/>
          <w14:ligatures w14:val="standardContextual"/>
        </w:rPr>
        <w:t>p</w:t>
      </w:r>
      <w:r w:rsidRPr="00B71C1E">
        <w:rPr>
          <w:rFonts w:eastAsia="Calibri"/>
          <w:kern w:val="2"/>
          <w:sz w:val="24"/>
          <w:szCs w:val="24"/>
          <w:lang w:eastAsia="en-US"/>
          <w14:ligatures w14:val="standardContextual"/>
        </w:rPr>
        <w:t>. Tese (Doutorad</w:t>
      </w:r>
      <w:r>
        <w:rPr>
          <w:rFonts w:eastAsia="Calibri"/>
          <w:kern w:val="2"/>
          <w:sz w:val="24"/>
          <w:szCs w:val="24"/>
          <w:lang w:eastAsia="en-US"/>
          <w14:ligatures w14:val="standardContextual"/>
        </w:rPr>
        <w:t>o</w:t>
      </w:r>
      <w:r w:rsidRPr="00B71C1E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) </w:t>
      </w:r>
      <w:r w:rsidR="00CF3D3D">
        <w:rPr>
          <w:rFonts w:eastAsia="Calibri"/>
          <w:kern w:val="2"/>
          <w:sz w:val="24"/>
          <w:szCs w:val="24"/>
          <w:lang w:eastAsia="en-US"/>
          <w14:ligatures w14:val="standardContextual"/>
        </w:rPr>
        <w:t>-</w:t>
      </w:r>
      <w:r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B71C1E">
        <w:rPr>
          <w:rFonts w:eastAsia="Calibri"/>
          <w:kern w:val="2"/>
          <w:sz w:val="24"/>
          <w:szCs w:val="24"/>
          <w:lang w:eastAsia="en-US"/>
          <w14:ligatures w14:val="standardContextual"/>
        </w:rPr>
        <w:t>Universidade Federal da Bahia</w:t>
      </w:r>
      <w:r>
        <w:rPr>
          <w:rFonts w:eastAsia="Calibri"/>
          <w:kern w:val="2"/>
          <w:sz w:val="24"/>
          <w:szCs w:val="24"/>
          <w:lang w:eastAsia="en-US"/>
          <w14:ligatures w14:val="standardContextual"/>
        </w:rPr>
        <w:t>,</w:t>
      </w:r>
      <w:r w:rsidRPr="00B71C1E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 Salvador</w:t>
      </w:r>
      <w:r>
        <w:rPr>
          <w:rFonts w:eastAsia="Calibri"/>
          <w:kern w:val="2"/>
          <w:sz w:val="24"/>
          <w:szCs w:val="24"/>
          <w:lang w:eastAsia="en-US"/>
          <w14:ligatures w14:val="standardContextual"/>
        </w:rPr>
        <w:t>,</w:t>
      </w:r>
      <w:r w:rsidRPr="00B71C1E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 2023.</w:t>
      </w:r>
      <w:r w:rsidR="00CF3D3D">
        <w:rPr>
          <w:rFonts w:eastAsia="Calibri"/>
          <w:kern w:val="2"/>
          <w:sz w:val="24"/>
          <w:szCs w:val="24"/>
          <w:lang w:eastAsia="en-US"/>
          <w14:ligatures w14:val="standardContextual"/>
        </w:rPr>
        <w:t xml:space="preserve"> Disponível em: </w:t>
      </w:r>
      <w:hyperlink r:id="rId7" w:history="1">
        <w:r w:rsidR="00CF3D3D" w:rsidRPr="003E4441">
          <w:rPr>
            <w:rStyle w:val="Hyperlink"/>
            <w:rFonts w:eastAsia="Calibri"/>
            <w:kern w:val="2"/>
            <w:sz w:val="24"/>
            <w:szCs w:val="24"/>
            <w:lang w:eastAsia="en-US"/>
            <w14:ligatures w14:val="standardContextual"/>
          </w:rPr>
          <w:t>https://alib.ufba.br/producoes-flexoes-genero</w:t>
        </w:r>
      </w:hyperlink>
      <w:r w:rsidR="00CF3D3D">
        <w:rPr>
          <w:rFonts w:eastAsia="Calibri"/>
          <w:kern w:val="2"/>
          <w:sz w:val="24"/>
          <w:szCs w:val="24"/>
          <w:lang w:eastAsia="en-US"/>
          <w14:ligatures w14:val="standardContextual"/>
        </w:rPr>
        <w:t>. Acesso em: 30 jul. 2026.</w:t>
      </w:r>
    </w:p>
    <w:p w14:paraId="3263DBA5" w14:textId="77777777" w:rsidR="006E1898" w:rsidRPr="006E1898" w:rsidRDefault="006E1898" w:rsidP="006E1898">
      <w:pPr>
        <w:spacing w:line="240" w:lineRule="auto"/>
        <w:rPr>
          <w:sz w:val="24"/>
          <w:szCs w:val="24"/>
        </w:rPr>
      </w:pPr>
    </w:p>
    <w:p w14:paraId="4024283C" w14:textId="3BEE0808" w:rsidR="00145190" w:rsidRPr="006E1898" w:rsidRDefault="006E1898" w:rsidP="006E1898">
      <w:pPr>
        <w:spacing w:line="240" w:lineRule="auto"/>
        <w:rPr>
          <w:rFonts w:eastAsia="Calibri"/>
          <w:sz w:val="24"/>
          <w:szCs w:val="24"/>
          <w:lang w:val="en-US"/>
        </w:rPr>
      </w:pPr>
      <w:r w:rsidRPr="006E1898">
        <w:rPr>
          <w:sz w:val="24"/>
          <w:szCs w:val="24"/>
        </w:rPr>
        <w:t xml:space="preserve">VIVEIROS DE CASTRO, Eduardo. </w:t>
      </w:r>
      <w:proofErr w:type="spellStart"/>
      <w:r w:rsidRPr="006E1898">
        <w:rPr>
          <w:sz w:val="24"/>
          <w:szCs w:val="24"/>
        </w:rPr>
        <w:t>Cosmological</w:t>
      </w:r>
      <w:proofErr w:type="spellEnd"/>
      <w:r w:rsidRPr="006E1898">
        <w:rPr>
          <w:sz w:val="24"/>
          <w:szCs w:val="24"/>
        </w:rPr>
        <w:t xml:space="preserve"> </w:t>
      </w:r>
      <w:proofErr w:type="spellStart"/>
      <w:r w:rsidRPr="006E1898">
        <w:rPr>
          <w:sz w:val="24"/>
          <w:szCs w:val="24"/>
        </w:rPr>
        <w:t>deixis</w:t>
      </w:r>
      <w:proofErr w:type="spellEnd"/>
      <w:r w:rsidRPr="006E1898">
        <w:rPr>
          <w:sz w:val="24"/>
          <w:szCs w:val="24"/>
        </w:rPr>
        <w:t xml:space="preserve"> </w:t>
      </w:r>
      <w:proofErr w:type="spellStart"/>
      <w:r w:rsidRPr="006E1898">
        <w:rPr>
          <w:sz w:val="24"/>
          <w:szCs w:val="24"/>
        </w:rPr>
        <w:t>and</w:t>
      </w:r>
      <w:proofErr w:type="spellEnd"/>
      <w:r w:rsidRPr="006E1898">
        <w:rPr>
          <w:sz w:val="24"/>
          <w:szCs w:val="24"/>
        </w:rPr>
        <w:t xml:space="preserve"> </w:t>
      </w:r>
      <w:proofErr w:type="spellStart"/>
      <w:r w:rsidRPr="006E1898">
        <w:rPr>
          <w:sz w:val="24"/>
          <w:szCs w:val="24"/>
        </w:rPr>
        <w:t>Amerindian</w:t>
      </w:r>
      <w:proofErr w:type="spellEnd"/>
      <w:r w:rsidRPr="006E1898">
        <w:rPr>
          <w:sz w:val="24"/>
          <w:szCs w:val="24"/>
        </w:rPr>
        <w:t xml:space="preserve"> </w:t>
      </w:r>
      <w:proofErr w:type="spellStart"/>
      <w:r w:rsidRPr="006E1898">
        <w:rPr>
          <w:sz w:val="24"/>
          <w:szCs w:val="24"/>
        </w:rPr>
        <w:t>perspectivism</w:t>
      </w:r>
      <w:proofErr w:type="spellEnd"/>
      <w:r w:rsidRPr="006E1898">
        <w:rPr>
          <w:sz w:val="24"/>
          <w:szCs w:val="24"/>
        </w:rPr>
        <w:t xml:space="preserve">. </w:t>
      </w:r>
      <w:proofErr w:type="spellStart"/>
      <w:r w:rsidRPr="006E1898">
        <w:rPr>
          <w:b/>
          <w:bCs/>
          <w:sz w:val="24"/>
          <w:szCs w:val="24"/>
        </w:rPr>
        <w:t>Journal</w:t>
      </w:r>
      <w:proofErr w:type="spellEnd"/>
      <w:r w:rsidRPr="006E1898">
        <w:rPr>
          <w:b/>
          <w:bCs/>
          <w:sz w:val="24"/>
          <w:szCs w:val="24"/>
        </w:rPr>
        <w:t xml:space="preserve"> </w:t>
      </w:r>
      <w:proofErr w:type="spellStart"/>
      <w:r w:rsidRPr="006E1898">
        <w:rPr>
          <w:b/>
          <w:bCs/>
          <w:sz w:val="24"/>
          <w:szCs w:val="24"/>
        </w:rPr>
        <w:t>of</w:t>
      </w:r>
      <w:proofErr w:type="spellEnd"/>
      <w:r w:rsidRPr="006E1898">
        <w:rPr>
          <w:b/>
          <w:bCs/>
          <w:sz w:val="24"/>
          <w:szCs w:val="24"/>
        </w:rPr>
        <w:t xml:space="preserve"> </w:t>
      </w:r>
      <w:proofErr w:type="spellStart"/>
      <w:r w:rsidRPr="006E1898">
        <w:rPr>
          <w:b/>
          <w:bCs/>
          <w:sz w:val="24"/>
          <w:szCs w:val="24"/>
        </w:rPr>
        <w:t>the</w:t>
      </w:r>
      <w:proofErr w:type="spellEnd"/>
      <w:r w:rsidRPr="006E1898">
        <w:rPr>
          <w:b/>
          <w:bCs/>
          <w:sz w:val="24"/>
          <w:szCs w:val="24"/>
        </w:rPr>
        <w:t xml:space="preserve"> Royal </w:t>
      </w:r>
      <w:proofErr w:type="spellStart"/>
      <w:r w:rsidRPr="006E1898">
        <w:rPr>
          <w:b/>
          <w:bCs/>
          <w:sz w:val="24"/>
          <w:szCs w:val="24"/>
        </w:rPr>
        <w:t>Anthropological</w:t>
      </w:r>
      <w:proofErr w:type="spellEnd"/>
      <w:r w:rsidRPr="006E1898">
        <w:rPr>
          <w:b/>
          <w:bCs/>
          <w:sz w:val="24"/>
          <w:szCs w:val="24"/>
        </w:rPr>
        <w:t xml:space="preserve"> </w:t>
      </w:r>
      <w:proofErr w:type="spellStart"/>
      <w:r w:rsidRPr="006E1898">
        <w:rPr>
          <w:b/>
          <w:bCs/>
          <w:sz w:val="24"/>
          <w:szCs w:val="24"/>
        </w:rPr>
        <w:t>Institute</w:t>
      </w:r>
      <w:proofErr w:type="spellEnd"/>
      <w:r w:rsidRPr="006E1898">
        <w:rPr>
          <w:sz w:val="24"/>
          <w:szCs w:val="24"/>
        </w:rPr>
        <w:t>, v. 4, n. 3, p. 469-488, 1998.</w:t>
      </w:r>
    </w:p>
    <w:sectPr w:rsidR="00145190" w:rsidRPr="006E1898" w:rsidSect="00F56A33">
      <w:headerReference w:type="default" r:id="rId8"/>
      <w:footerReference w:type="default" r:id="rId9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9F121" w14:textId="77777777" w:rsidR="009C454B" w:rsidRDefault="009C454B">
      <w:pPr>
        <w:spacing w:line="240" w:lineRule="auto"/>
      </w:pPr>
      <w:r>
        <w:separator/>
      </w:r>
    </w:p>
  </w:endnote>
  <w:endnote w:type="continuationSeparator" w:id="0">
    <w:p w14:paraId="494CD72B" w14:textId="77777777" w:rsidR="009C454B" w:rsidRDefault="009C45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8D1881E-378E-4E4B-A582-A3F972B39040}"/>
    <w:embedBold r:id="rId2" w:fontKey="{62115007-FA40-4EC5-A4E7-6EAC764EA76F}"/>
    <w:embedItalic r:id="rId3" w:fontKey="{43F32948-74ED-4CDB-A24A-5F760FF55B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DC97EA-07D5-4EB5-A24E-74FDF593B5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8EFE" w14:textId="77777777" w:rsidR="0014519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56A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CD4F3" w14:textId="77777777" w:rsidR="009C454B" w:rsidRDefault="009C454B">
      <w:pPr>
        <w:spacing w:line="240" w:lineRule="auto"/>
      </w:pPr>
      <w:r>
        <w:separator/>
      </w:r>
    </w:p>
  </w:footnote>
  <w:footnote w:type="continuationSeparator" w:id="0">
    <w:p w14:paraId="79F70ED0" w14:textId="77777777" w:rsidR="009C454B" w:rsidRDefault="009C45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FF23" w14:textId="77777777" w:rsidR="00145190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7195D66" wp14:editId="7320C4A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B2445A1" wp14:editId="4990161E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74A6B8" w14:textId="77777777" w:rsidR="00145190" w:rsidRDefault="00145190">
    <w:pPr>
      <w:jc w:val="right"/>
    </w:pPr>
  </w:p>
  <w:p w14:paraId="7F2CEC35" w14:textId="77777777" w:rsidR="00145190" w:rsidRDefault="00145190">
    <w:pPr>
      <w:jc w:val="right"/>
    </w:pPr>
  </w:p>
  <w:p w14:paraId="796EA7C2" w14:textId="77777777" w:rsidR="00145190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7AD5491" wp14:editId="0F920616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190"/>
    <w:rsid w:val="00066FA8"/>
    <w:rsid w:val="0010629C"/>
    <w:rsid w:val="00145190"/>
    <w:rsid w:val="001D13A8"/>
    <w:rsid w:val="002601B3"/>
    <w:rsid w:val="003917FA"/>
    <w:rsid w:val="00400A41"/>
    <w:rsid w:val="00483017"/>
    <w:rsid w:val="00484C37"/>
    <w:rsid w:val="006C6D63"/>
    <w:rsid w:val="006E1898"/>
    <w:rsid w:val="00700AEA"/>
    <w:rsid w:val="008300B8"/>
    <w:rsid w:val="0084132A"/>
    <w:rsid w:val="008E4C6C"/>
    <w:rsid w:val="009212C8"/>
    <w:rsid w:val="009C454B"/>
    <w:rsid w:val="00A30427"/>
    <w:rsid w:val="00A960E0"/>
    <w:rsid w:val="00B71C1E"/>
    <w:rsid w:val="00C6067D"/>
    <w:rsid w:val="00CF3D3D"/>
    <w:rsid w:val="00D03D9B"/>
    <w:rsid w:val="00E50E25"/>
    <w:rsid w:val="00EF6EA2"/>
    <w:rsid w:val="00F3463E"/>
    <w:rsid w:val="00F56A33"/>
    <w:rsid w:val="00F8083A"/>
    <w:rsid w:val="00FA78D3"/>
    <w:rsid w:val="00FD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757F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E1898"/>
    <w:pPr>
      <w:spacing w:line="240" w:lineRule="auto"/>
      <w:jc w:val="both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E1898"/>
    <w:rPr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6E189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4C3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3042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0427"/>
  </w:style>
  <w:style w:type="paragraph" w:styleId="Rodap">
    <w:name w:val="footer"/>
    <w:basedOn w:val="Normal"/>
    <w:link w:val="RodapChar"/>
    <w:uiPriority w:val="99"/>
    <w:unhideWhenUsed/>
    <w:rsid w:val="00A3042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0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alib.ufba.br/producoes-flexoes-gener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dl.handle.net/11449/325044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1308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2026-07-30T15:04:00Z</dcterms:created>
  <dcterms:modified xsi:type="dcterms:W3CDTF">2026-07-31T18:56:00Z</dcterms:modified>
</cp:coreProperties>
</file>